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glossary/_rels/document.xml.rels" ContentType="application/vnd.openxmlformats-package.relationships+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sdt>
      <w:sdtPr>
        <w:docPartObj>
          <w:docPartGallery w:val="Cover Pages"/>
          <w:docPartUnique w:val="true"/>
        </w:docPartObj>
        <w:id w:val="1207578966"/>
      </w:sdtPr>
      <w:sdtContent>
        <w:p>
          <w:pPr>
            <w:pStyle w:val="Normal"/>
            <w:rPr/>
          </w:pPr>
          <w:r>
            <w:rPr/>
          </w:r>
        </w:p>
      </w:sdtContent>
    </w:sdt>
    <w:tbl>
      <w:tblPr>
        <w:tblpPr w:bottomFromText="0" w:horzAnchor="margin" w:leftFromText="187" w:rightFromText="187" w:tblpX="0" w:tblpXSpec="center" w:tblpY="2881" w:topFromText="0" w:vertAnchor="margin"/>
        <w:tblW w:w="5000" w:type="pct"/>
        <w:jc w:val="center"/>
        <w:tblInd w:w="0" w:type="dxa"/>
        <w:tblBorders>
          <w:left w:val="single" w:sz="12" w:space="0" w:color="4472C4"/>
        </w:tblBorders>
        <w:tblCellMar>
          <w:top w:w="216" w:type="dxa"/>
          <w:left w:w="115" w:type="dxa"/>
          <w:bottom w:w="216" w:type="dxa"/>
          <w:right w:w="115" w:type="dxa"/>
        </w:tblCellMar>
        <w:tblLook w:firstRow="1" w:noVBand="1" w:lastRow="0" w:firstColumn="1" w:lastColumn="0" w:noHBand="0" w:val="04a0"/>
      </w:tblPr>
      <w:tblGrid>
        <w:gridCol w:w="9638"/>
      </w:tblGrid>
      <w:tr>
        <w:trPr/>
        <w:tc>
          <w:tcPr>
            <w:tcW w:w="9638" w:type="dxa"/>
            <w:tcBorders>
              <w:left w:val="single" w:sz="12" w:space="0" w:color="4472C4"/>
            </w:tcBorders>
            <w:shd w:fill="auto" w:val="clear"/>
          </w:tcPr>
          <w:sdt>
            <w:sdtPr>
              <w:text/>
              <w:id w:val="1363450382"/>
              <w:dataBinding w:prefixMappings="xmlns:ns0='http://schemas.openxmlformats.org/officeDocument/2006/extended-properties'" w:xpath="/ns0:Properties[1]/ns0:Company[1]" w:storeItemID="{6668398D-A668-4E3E-A5EB-62B293D839F1}"/>
              <w:alias w:val="Yritys"/>
            </w:sdtPr>
            <w:sdtContent>
              <w:p>
                <w:pPr>
                  <w:pStyle w:val="NoSpacing"/>
                  <w:rPr>
                    <w:color w:val="2F5496" w:themeColor="accent1" w:themeShade="bf"/>
                    <w:sz w:val="24"/>
                  </w:rPr>
                </w:pPr>
                <w:r>
                  <w:rPr>
                    <w:color w:val="2F5496" w:themeColor="accent1" w:themeShade="bf"/>
                    <w:sz w:val="24"/>
                    <w:szCs w:val="24"/>
                  </w:rPr>
                  <w:t>Eterneco Ky</w:t>
                </w:r>
              </w:p>
            </w:sdtContent>
          </w:sdt>
        </w:tc>
      </w:tr>
      <w:tr>
        <w:trPr/>
        <w:tc>
          <w:tcPr>
            <w:tcW w:w="9638" w:type="dxa"/>
            <w:tcBorders>
              <w:left w:val="single" w:sz="12" w:space="0" w:color="4472C4"/>
            </w:tcBorders>
            <w:shd w:fill="auto" w:val="clear"/>
            <w:tcMar>
              <w:top w:w="0" w:type="dxa"/>
              <w:left w:w="144" w:type="dxa"/>
              <w:bottom w:w="0" w:type="dxa"/>
            </w:tcMar>
          </w:tcPr>
          <w:sdt>
            <w:sdtPr>
              <w:text/>
              <w:id w:val="720322246"/>
              <w:dataBinding w:prefixMappings="xmlns:ns0='http://schemas.openxmlformats.org/package/2006/metadata/core-properties' xmlns:ns1='http://purl.org/dc/elements/1.1/'" w:xpath="/ns0:coreProperties[1]/ns1:title[1]" w:storeItemID="{6C3C8BC8-F283-45AE-878A-BAB7291924A1}"/>
              <w:alias w:val="Otsikko"/>
            </w:sdtPr>
            <w:sdtContent>
              <w:p>
                <w:pPr>
                  <w:pStyle w:val="NoSpacing"/>
                  <w:spacing w:lineRule="auto" w:line="216"/>
                  <w:rPr>
                    <w:rFonts w:ascii="Calibri Light" w:hAnsi="Calibri Light" w:eastAsia="" w:cs="" w:asciiTheme="majorHAnsi" w:cstheme="majorBidi" w:eastAsiaTheme="majorEastAsia" w:hAnsiTheme="majorHAnsi"/>
                    <w:color w:val="4472C4" w:themeColor="accent1"/>
                    <w:sz w:val="88"/>
                    <w:szCs w:val="88"/>
                  </w:rPr>
                </w:pPr>
                <w:r>
                  <w:rPr>
                    <w:rFonts w:eastAsia="" w:cs="" w:ascii="Calibri Light" w:hAnsi="Calibri Light" w:asciiTheme="majorHAnsi" w:cstheme="majorBidi" w:eastAsiaTheme="majorEastAsia" w:hAnsiTheme="majorHAnsi"/>
                    <w:color w:val="4472C4" w:themeColor="accent1"/>
                    <w:sz w:val="92"/>
                    <w:szCs w:val="92"/>
                  </w:rPr>
                  <w:t>OMAVALVONTA-SUUNNITELMA</w:t>
                </w:r>
              </w:p>
            </w:sdtContent>
          </w:sdt>
        </w:tc>
      </w:tr>
      <w:tr>
        <w:trPr/>
        <w:tc>
          <w:tcPr>
            <w:tcW w:w="9638" w:type="dxa"/>
            <w:tcBorders>
              <w:left w:val="single" w:sz="12" w:space="0" w:color="4472C4"/>
            </w:tcBorders>
            <w:shd w:fill="auto" w:val="clear"/>
          </w:tcPr>
          <w:p>
            <w:pPr>
              <w:pStyle w:val="NoSpacing"/>
              <w:rPr>
                <w:color w:val="2F5496" w:themeColor="accent1" w:themeShade="bf"/>
                <w:sz w:val="24"/>
              </w:rPr>
            </w:pPr>
            <w:r>
              <w:rPr>
                <w:color w:val="2F5496" w:themeColor="accent1" w:themeShade="bf"/>
                <w:sz w:val="24"/>
              </w:rPr>
            </w:r>
          </w:p>
        </w:tc>
      </w:tr>
    </w:tbl>
    <w:p>
      <w:pPr>
        <w:pStyle w:val="Normal"/>
        <w:rPr>
          <w:b/>
          <w:b/>
          <w:bCs/>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4331335" cy="1430020"/>
            <wp:effectExtent l="0" t="0" r="0" b="0"/>
            <wp:wrapSquare wrapText="largest"/>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tretch>
                      <a:fillRect/>
                    </a:stretch>
                  </pic:blipFill>
                  <pic:spPr bwMode="auto">
                    <a:xfrm>
                      <a:off x="0" y="0"/>
                      <a:ext cx="4331335" cy="1430020"/>
                    </a:xfrm>
                    <a:prstGeom prst="rect">
                      <a:avLst/>
                    </a:prstGeom>
                  </pic:spPr>
                </pic:pic>
              </a:graphicData>
            </a:graphic>
          </wp:anchor>
        </w:drawing>
      </w:r>
      <w:r>
        <w:br w:type="page"/>
      </w:r>
      <w:r>
        <mc:AlternateContent>
          <mc:Choice Requires="wps">
            <w:drawing>
              <wp:anchor behindDoc="0" distT="0" distB="0" distL="118745" distR="118745" simplePos="0" locked="0" layoutInCell="1" allowOverlap="1" relativeHeight="2">
                <wp:simplePos x="0" y="0"/>
                <wp:positionH relativeFrom="margin">
                  <wp:align>center</wp:align>
                </wp:positionH>
                <wp:positionV relativeFrom="margin">
                  <wp:align>bottom</wp:align>
                </wp:positionV>
                <wp:extent cx="4712335" cy="1143000"/>
                <wp:effectExtent l="0" t="0" r="0" b="0"/>
                <wp:wrapSquare wrapText="bothSides"/>
                <wp:docPr id="2" name="Kehys1"/>
                <a:graphic xmlns:a="http://schemas.openxmlformats.org/drawingml/2006/main">
                  <a:graphicData uri="http://schemas.microsoft.com/office/word/2010/wordprocessingShape">
                    <wps:wsp>
                      <wps:cNvSpPr txBox="1"/>
                      <wps:spPr>
                        <a:xfrm>
                          <a:off x="0" y="0"/>
                          <a:ext cx="4712335" cy="1143000"/>
                        </a:xfrm>
                        <a:prstGeom prst="rect"/>
                      </wps:spPr>
                      <wps:txbx>
                        <w:txbxContent>
                          <w:tbl>
                            <w:tblPr>
                              <w:tblpPr w:bottomFromText="0" w:horzAnchor="margin" w:leftFromText="187" w:rightFromText="187" w:tblpX="0" w:tblpXSpec="center" w:tblpY="0" w:tblpYSpec="bottom" w:topFromText="0" w:vertAnchor="margin"/>
                              <w:tblW w:w="5000" w:type="pct"/>
                              <w:jc w:val="center"/>
                              <w:tblInd w:w="0" w:type="dxa"/>
                              <w:tblBorders/>
                              <w:tblCellMar>
                                <w:top w:w="216" w:type="dxa"/>
                                <w:left w:w="115" w:type="dxa"/>
                                <w:bottom w:w="216" w:type="dxa"/>
                                <w:right w:w="115" w:type="dxa"/>
                              </w:tblCellMar>
                              <w:tblLook w:firstRow="1" w:noVBand="1" w:lastRow="0" w:firstColumn="1" w:lastColumn="0" w:noHBand="0" w:val="04a0"/>
                            </w:tblPr>
                            <w:tblGrid>
                              <w:gridCol w:w="7421"/>
                            </w:tblGrid>
                            <w:tr>
                              <w:trPr/>
                              <w:tc>
                                <w:tcPr>
                                  <w:tcW w:w="7421" w:type="dxa"/>
                                  <w:tcBorders/>
                                  <w:shd w:fill="auto" w:val="clear"/>
                                </w:tcPr>
                                <w:sdt>
                                  <w:sdtPr>
                                    <w:id w:val="57289808"/>
                                    <w:alias w:val="Tekijä"/>
                                  </w:sdtPr>
                                  <w:sdtContent>
                                    <w:p>
                                      <w:pPr>
                                        <w:pStyle w:val="NoSpacing"/>
                                        <w:rPr/>
                                      </w:pPr>
                                      <w:r>
                                        <w:rPr>
                                          <w:color w:val="4472C4" w:themeColor="accent1"/>
                                          <w:sz w:val="28"/>
                                          <w:szCs w:val="28"/>
                                        </w:rPr>
                                        <w:t>Pauliina Lukkarinen</w:t>
                                      </w:r>
                                    </w:p>
                                  </w:sdtContent>
                                </w:sdt>
                                <w:p>
                                  <w:pPr>
                                    <w:pStyle w:val="NoSpacing"/>
                                    <w:rPr>
                                      <w:color w:val="4472C4"/>
                                      <w:sz w:val="28"/>
                                      <w:szCs w:val="28"/>
                                    </w:rPr>
                                  </w:pPr>
                                  <w:r>
                                    <w:rPr>
                                      <w:color w:val="4472C4"/>
                                      <w:sz w:val="28"/>
                                      <w:szCs w:val="28"/>
                                    </w:rPr>
                                    <w:t>1.9.2024</w:t>
                                  </w:r>
                                </w:p>
                                <w:p>
                                  <w:pPr>
                                    <w:pStyle w:val="NoSpacing"/>
                                    <w:rPr/>
                                  </w:pPr>
                                  <w:r>
                                    <w:rPr>
                                      <w:color w:val="4472C4" w:themeColor="accent1"/>
                                      <w:sz w:val="28"/>
                                      <w:szCs w:val="28"/>
                                    </w:rPr>
                                    <w:t>Päivitetty 11.4.2025</w:t>
                                    <w:br/>
                                  </w:r>
                                  <w:r>
                                    <w:rPr>
                                      <w:color w:val="4472C4" w:themeColor="accent1"/>
                                      <w:sz w:val="28"/>
                                      <w:szCs w:val="28"/>
                                    </w:rPr>
                                    <w:t>Päivitetty 17.9.2026</w:t>
                                  </w:r>
                                </w:p>
                              </w:tc>
                            </w:tr>
                          </w:tbl>
                        </w:txbxContent>
                      </wps:txbx>
                      <wps:bodyPr anchor="t" lIns="0" tIns="0" rIns="0" bIns="0">
                        <a:spAutoFit/>
                      </wps:bodyPr>
                    </wps:wsp>
                  </a:graphicData>
                </a:graphic>
                <wp14:sizeRelH relativeFrom="margin">
                  <wp14:pctWidth>77000</wp14:pctWidth>
                </wp14:sizeRelH>
              </wp:anchor>
            </w:drawing>
          </mc:Choice>
          <mc:Fallback>
            <w:pict>
              <v:rect style="position:absolute;rotation:0;width:371.05pt;height:90pt;mso-wrap-distance-left:9.35pt;mso-wrap-distance-right:9.35pt;mso-wrap-distance-top:0pt;mso-wrap-distance-bottom:0pt;margin-top:610.2pt;mso-position-vertical:bottom;mso-position-vertical-relative:margin;margin-left:55.45pt;mso-position-horizontal:center;mso-position-horizontal-relative:margin">
                <v:textbox inset="0in,0in,0in,0in">
                  <w:txbxContent>
                    <w:tbl>
                      <w:tblPr>
                        <w:tblpPr w:bottomFromText="0" w:horzAnchor="margin" w:leftFromText="187" w:rightFromText="187" w:tblpX="0" w:tblpXSpec="center" w:tblpY="0" w:tblpYSpec="bottom" w:topFromText="0" w:vertAnchor="margin"/>
                        <w:tblW w:w="5000" w:type="pct"/>
                        <w:jc w:val="center"/>
                        <w:tblInd w:w="0" w:type="dxa"/>
                        <w:tblBorders/>
                        <w:tblCellMar>
                          <w:top w:w="216" w:type="dxa"/>
                          <w:left w:w="115" w:type="dxa"/>
                          <w:bottom w:w="216" w:type="dxa"/>
                          <w:right w:w="115" w:type="dxa"/>
                        </w:tblCellMar>
                        <w:tblLook w:firstRow="1" w:noVBand="1" w:lastRow="0" w:firstColumn="1" w:lastColumn="0" w:noHBand="0" w:val="04a0"/>
                      </w:tblPr>
                      <w:tblGrid>
                        <w:gridCol w:w="7421"/>
                      </w:tblGrid>
                      <w:tr>
                        <w:trPr/>
                        <w:tc>
                          <w:tcPr>
                            <w:tcW w:w="7421" w:type="dxa"/>
                            <w:tcBorders/>
                            <w:shd w:fill="auto" w:val="clear"/>
                          </w:tcPr>
                          <w:sdt>
                            <w:sdtPr>
                              <w:text/>
                              <w:id w:val="1277597997"/>
                              <w:dataBinding w:prefixMappings="xmlns:ns0='http://schemas.openxmlformats.org/package/2006/metadata/core-properties' xmlns:ns1='http://purl.org/dc/elements/1.1/'" w:xpath="/ns0:coreProperties[1]/ns1:creator[1]" w:storeItemID="{6C3C8BC8-F283-45AE-878A-BAB7291924A1}"/>
                              <w:alias w:val="Tekijä"/>
                            </w:sdtPr>
                            <w:sdtContent>
                              <w:p>
                                <w:pPr>
                                  <w:pStyle w:val="NoSpacing"/>
                                  <w:rPr/>
                                </w:pPr>
                                <w:r>
                                  <w:rPr>
                                    <w:color w:val="4472C4" w:themeColor="accent1"/>
                                    <w:sz w:val="28"/>
                                    <w:szCs w:val="28"/>
                                  </w:rPr>
                                  <w:t>Pauliina Lukkarinen</w:t>
                                </w:r>
                              </w:p>
                            </w:sdtContent>
                          </w:sdt>
                          <w:p>
                            <w:pPr>
                              <w:pStyle w:val="NoSpacing"/>
                              <w:rPr>
                                <w:color w:val="4472C4"/>
                                <w:sz w:val="28"/>
                                <w:szCs w:val="28"/>
                              </w:rPr>
                            </w:pPr>
                            <w:r>
                              <w:rPr>
                                <w:color w:val="4472C4"/>
                                <w:sz w:val="28"/>
                                <w:szCs w:val="28"/>
                              </w:rPr>
                              <w:t>1.9.2024</w:t>
                            </w:r>
                          </w:p>
                          <w:p>
                            <w:pPr>
                              <w:pStyle w:val="NoSpacing"/>
                              <w:rPr/>
                            </w:pPr>
                            <w:r>
                              <w:rPr>
                                <w:color w:val="4472C4" w:themeColor="accent1"/>
                                <w:sz w:val="28"/>
                                <w:szCs w:val="28"/>
                              </w:rPr>
                              <w:t>Päivitetty 11.4.2025</w:t>
                              <w:br/>
                            </w:r>
                            <w:r>
                              <w:rPr>
                                <w:color w:val="4472C4" w:themeColor="accent1"/>
                                <w:sz w:val="28"/>
                                <w:szCs w:val="28"/>
                              </w:rPr>
                              <w:t>Päivitetty 17.9.2026</w:t>
                            </w:r>
                          </w:p>
                        </w:tc>
                      </w:tr>
                    </w:tbl>
                  </w:txbxContent>
                </v:textbox>
                <w10:wrap type="square"/>
              </v:rect>
            </w:pict>
          </mc:Fallback>
        </mc:AlternateContent>
      </w:r>
    </w:p>
    <w:p>
      <w:pPr>
        <w:pStyle w:val="Normal"/>
        <w:rPr>
          <w:b/>
          <w:b/>
          <w:bCs/>
        </w:rPr>
      </w:pPr>
      <w:r>
        <w:rPr>
          <w:b/>
          <w:bCs/>
        </w:rPr>
        <w:t>YKSITYISEN TERVEYDENHUOLLON OMAVALVONTASUUNNITELMA</w:t>
      </w:r>
    </w:p>
    <w:p>
      <w:pPr>
        <w:pStyle w:val="Normal"/>
        <w:rPr>
          <w:b/>
          <w:b/>
          <w:bCs/>
        </w:rPr>
      </w:pPr>
      <w:r>
        <w:rPr>
          <w:b/>
          <w:bCs/>
        </w:rPr>
        <w:t>1. PALVELUJEN TUOTTAJAA KOSKEVAT TIEDOT</w:t>
      </w:r>
    </w:p>
    <w:p>
      <w:pPr>
        <w:pStyle w:val="Normal"/>
        <w:rPr>
          <w:b/>
          <w:b/>
          <w:bCs/>
        </w:rPr>
      </w:pPr>
      <w:r>
        <w:rPr>
          <w:b/>
          <w:bCs/>
        </w:rPr>
        <w:t xml:space="preserve">Palvelujen tuottajan nimi </w:t>
        <w:br/>
      </w:r>
      <w:r>
        <w:rPr/>
        <w:t>Eterneco Ky</w:t>
      </w:r>
    </w:p>
    <w:p>
      <w:pPr>
        <w:pStyle w:val="Normal"/>
        <w:rPr>
          <w:b/>
          <w:b/>
          <w:bCs/>
        </w:rPr>
      </w:pPr>
      <w:r>
        <w:rPr>
          <w:b/>
          <w:bCs/>
        </w:rPr>
        <w:t>Palvelujen tuottajan Y-tunnus</w:t>
        <w:br/>
      </w:r>
      <w:r>
        <w:rPr/>
        <w:t>2878383-6</w:t>
      </w:r>
    </w:p>
    <w:p>
      <w:pPr>
        <w:pStyle w:val="Normal"/>
        <w:rPr/>
      </w:pPr>
      <w:r>
        <w:rPr>
          <w:b/>
          <w:bCs/>
        </w:rPr>
        <w:t>Palveluyksikön nimi</w:t>
        <w:br/>
      </w:r>
      <w:r>
        <w:rPr/>
        <w:t>Herralankulma, liikekeskus</w:t>
      </w:r>
    </w:p>
    <w:p>
      <w:pPr>
        <w:pStyle w:val="Normal"/>
        <w:rPr/>
      </w:pPr>
      <w:r>
        <w:rPr>
          <w:b/>
          <w:bCs/>
        </w:rPr>
        <w:t>Palveluyksikön postiosoite</w:t>
        <w:br/>
      </w:r>
      <w:r>
        <w:rPr/>
        <w:t>Herralantie 1 b</w:t>
      </w:r>
    </w:p>
    <w:p>
      <w:pPr>
        <w:pStyle w:val="Normal"/>
        <w:rPr/>
      </w:pPr>
      <w:r>
        <w:rPr>
          <w:b/>
          <w:bCs/>
        </w:rPr>
        <w:t>Postinumero Postitoimipaikka</w:t>
        <w:br/>
      </w:r>
      <w:r>
        <w:rPr/>
        <w:t>77600 Suonenjoki</w:t>
      </w:r>
    </w:p>
    <w:p>
      <w:pPr>
        <w:pStyle w:val="Normal"/>
        <w:rPr/>
      </w:pPr>
      <w:r>
        <w:rPr>
          <w:b/>
          <w:bCs/>
        </w:rPr>
        <w:t xml:space="preserve">Terveydenhuollon palveluista vastaava johtaja </w:t>
        <w:br/>
      </w:r>
      <w:r>
        <w:rPr/>
        <w:t>Pauliina Lukkarinen</w:t>
      </w:r>
    </w:p>
    <w:p>
      <w:pPr>
        <w:pStyle w:val="Normal"/>
        <w:rPr/>
      </w:pPr>
      <w:r>
        <w:rPr>
          <w:b/>
          <w:bCs/>
        </w:rPr>
        <w:t>Puhelin</w:t>
        <w:br/>
      </w:r>
      <w:r>
        <w:rPr>
          <w:b w:val="false"/>
          <w:bCs w:val="false"/>
        </w:rPr>
        <w:t>050 517 9392</w:t>
      </w:r>
    </w:p>
    <w:p>
      <w:pPr>
        <w:pStyle w:val="Normal"/>
        <w:rPr/>
      </w:pPr>
      <w:r>
        <w:rPr>
          <w:b/>
          <w:bCs/>
        </w:rPr>
        <w:t>Postiosoite</w:t>
        <w:br/>
      </w:r>
      <w:r>
        <w:rPr/>
        <w:t>Harjapolku 2</w:t>
      </w:r>
    </w:p>
    <w:p>
      <w:pPr>
        <w:pStyle w:val="Normal"/>
        <w:rPr/>
      </w:pPr>
      <w:r>
        <w:rPr>
          <w:b/>
          <w:bCs/>
        </w:rPr>
        <w:t>Postinumero Postitoimipaikka</w:t>
        <w:br/>
      </w:r>
      <w:r>
        <w:rPr/>
        <w:t>77600 Suonenjoki</w:t>
      </w:r>
    </w:p>
    <w:p>
      <w:pPr>
        <w:pStyle w:val="Normal"/>
        <w:rPr/>
      </w:pPr>
      <w:r>
        <w:rPr>
          <w:b/>
          <w:bCs/>
        </w:rPr>
        <w:t>Sähköposti</w:t>
        <w:br/>
      </w:r>
      <w:hyperlink r:id="rId3">
        <w:r>
          <w:rPr>
            <w:rStyle w:val="Internetlinkki"/>
          </w:rPr>
          <w:t>info@eterneco.fi</w:t>
        </w:r>
      </w:hyperlink>
    </w:p>
    <w:p>
      <w:pPr>
        <w:pStyle w:val="Normal"/>
        <w:rPr/>
      </w:pPr>
      <w:r>
        <w:rPr/>
      </w:r>
    </w:p>
    <w:p>
      <w:pPr>
        <w:pStyle w:val="Normal"/>
        <w:rPr>
          <w:b/>
          <w:b/>
          <w:bCs/>
        </w:rPr>
      </w:pPr>
      <w:r>
        <w:rPr>
          <w:b/>
          <w:bCs/>
        </w:rPr>
        <w:t>2. TOIMINTA-AJATUS, ARVOT JA TOIMINTAPERIAATTEET</w:t>
      </w:r>
    </w:p>
    <w:p>
      <w:pPr>
        <w:pStyle w:val="Normal"/>
        <w:rPr/>
      </w:pPr>
      <w:r>
        <w:rPr>
          <w:b/>
          <w:bCs/>
        </w:rPr>
        <w:t>Arvot ja periaatteet</w:t>
        <w:br/>
      </w:r>
      <w:r>
        <w:rPr/>
        <w:t>Toimin vastuullisesti ja kestävän kehityksen mukaisesti yksilöä kunnioittaen. Luon asiakaskohtaamisiin ilmapiirin, jossa palvelunsaajan on hyvä ja turvallista olla.</w:t>
      </w:r>
    </w:p>
    <w:p>
      <w:pPr>
        <w:pStyle w:val="Normal"/>
        <w:rPr/>
      </w:pPr>
      <w:r>
        <w:rPr>
          <w:b/>
          <w:bCs/>
        </w:rPr>
        <w:t>Toiminta-ajatus/ Perustehtävä</w:t>
        <w:br/>
      </w:r>
      <w:r>
        <w:rPr/>
        <w:t xml:space="preserve">Tuottaa terveyttä ja hyvinvointia edistäviä jalkojenhoitoja sekä omahoidon ohjausta. </w:t>
      </w:r>
    </w:p>
    <w:p>
      <w:pPr>
        <w:pStyle w:val="Normal"/>
        <w:rPr>
          <w:b/>
          <w:b/>
          <w:bCs/>
        </w:rPr>
      </w:pPr>
      <w:r>
        <w:rPr>
          <w:b/>
          <w:bCs/>
        </w:rPr>
        <w:t>3. OMAVALVONNAN ORGANISOINTI JA JOHTAMINEN</w:t>
      </w:r>
    </w:p>
    <w:p>
      <w:pPr>
        <w:pStyle w:val="Normal"/>
        <w:rPr/>
      </w:pPr>
      <w:r>
        <w:rPr>
          <w:b/>
          <w:bCs/>
        </w:rPr>
        <w:t>Kuvaus toimenpiteistä ja menettelytavoista, joilla terveydenhuollon palveluista vastaava johtaja huolehtii laissa säädetyistä velvollisuuksista</w:t>
      </w:r>
      <w:r>
        <w:rPr/>
        <w:br/>
        <w:t>Toiminta on sosiaali- ja terveysalan säädösten sekä lähihoitajan eettisten ohjeiden mukaista.</w:t>
        <w:br/>
        <w:t xml:space="preserve">Yrittäjä seuraa alan lakien ja käytänteiden muuttumista ja toimii niiden vaatimalla tavalla. </w:t>
        <w:br/>
      </w:r>
      <w:r>
        <w:rPr/>
        <w:t>Lupa- ja valvontavirasto LUVA</w:t>
      </w:r>
      <w:r>
        <w:rPr/>
        <w:t xml:space="preserve">, </w:t>
      </w:r>
      <w:r>
        <w:rPr/>
        <w:t xml:space="preserve">Sosiaali- ja terveysministeriö </w:t>
      </w:r>
      <w:r>
        <w:rPr/>
        <w:t>S</w:t>
      </w:r>
      <w:r>
        <w:rPr/>
        <w:t>TM</w:t>
      </w:r>
    </w:p>
    <w:p>
      <w:pPr>
        <w:pStyle w:val="Normal"/>
        <w:rPr/>
      </w:pPr>
      <w:r>
        <w:rPr>
          <w:b/>
          <w:bCs/>
        </w:rPr>
        <w:t>Suunnitelma henkilöstön perehdyttämisestä ja kouluttamisesta sekä osallistumisesta omavalvonnan suunnitteluun ja toteuttamiseen</w:t>
        <w:br/>
      </w:r>
      <w:r>
        <w:rPr/>
        <w:t>Yritys on yhden henkilön yritys. Yrittäjä kouluttautuu ja hankkii lisäosaamista mahdollisuuksien mukaan jalkojenhoidon alan sekä siihen liittyvien yhdistysten ja muiden tahojen järjestämissä koulutuksissa. Verkostoituminen ja verkostojen ylläpitäminen alan muiden toimijoiden kanssa.</w:t>
        <w:br/>
      </w:r>
      <w:r>
        <w:rPr/>
        <w:t xml:space="preserve">1.6.2026 alkaen yrityksen tiloissa ja yhteistyökumppanina on aloittanut Riikka Välimäki </w:t>
      </w:r>
      <w:r>
        <w:rPr/>
        <w:t xml:space="preserve"> </w:t>
        <w:br/>
        <w:t>Nimi: Vyöhyketerapia Luxia / Riikka Välimäki</w:t>
        <w:br/>
        <w:t>Y-tunnus: 3180390-6</w:t>
        <w:br/>
        <w:t>Osoite: Jalkalantie 160, 77600 Suonenjoki</w:t>
        <w:br/>
        <w:t>Puhelin 044 022 6979</w:t>
        <w:br/>
        <w:t>Sähköposti: riikka.valimaki88@gmail.com</w:t>
      </w:r>
    </w:p>
    <w:p>
      <w:pPr>
        <w:pStyle w:val="Normal"/>
        <w:rPr/>
      </w:pPr>
      <w:r>
        <w:rPr>
          <w:b/>
          <w:bCs/>
        </w:rPr>
        <w:t>4. HENKILÖSTÖ</w:t>
      </w:r>
    </w:p>
    <w:p>
      <w:pPr>
        <w:pStyle w:val="Normal"/>
        <w:rPr/>
      </w:pPr>
      <w:r>
        <w:rPr>
          <w:b/>
          <w:bCs/>
        </w:rPr>
        <w:t>Kuvaus henkilöstön määrästä ja rakenteesta</w:t>
        <w:br/>
      </w:r>
      <w:r>
        <w:rPr/>
        <w:t>Yritys työllistää yhden henkilön.</w:t>
      </w:r>
    </w:p>
    <w:p>
      <w:pPr>
        <w:pStyle w:val="Normal"/>
        <w:rPr/>
      </w:pPr>
      <w:r>
        <w:rPr>
          <w:b/>
          <w:bCs/>
        </w:rPr>
        <w:t xml:space="preserve">Kuvaus henkilöstön rekrytoinnin periaatteista (kelpoisuuden varmistaminen: </w:t>
      </w:r>
      <w:hyperlink r:id="rId4">
        <w:r>
          <w:rPr>
            <w:rStyle w:val="Internetlinkki"/>
            <w:b/>
            <w:bCs/>
          </w:rPr>
          <w:t>https://julkiterhikki.valvira.fi/</w:t>
        </w:r>
      </w:hyperlink>
      <w:r>
        <w:rPr>
          <w:b/>
          <w:bCs/>
        </w:rPr>
        <w:t xml:space="preserve">  kielitaidon varmistaminen, lasten kanssa työskentelevien rikosrekisterin tarkistaminen jne.</w:t>
        <w:br/>
      </w:r>
      <w:r>
        <w:rPr/>
        <w:t>---</w:t>
      </w:r>
    </w:p>
    <w:p>
      <w:pPr>
        <w:pStyle w:val="Normal"/>
        <w:rPr/>
      </w:pPr>
      <w:r>
        <w:rPr>
          <w:b/>
          <w:bCs/>
        </w:rPr>
        <w:t>Kuvaus henkilöstön ja opiskelijoiden perehdyttämistä. Erityistä huomiota on kiinnitettävä lääkehoitosuunnitelmaan, potilasasiakirjakäytäntöihin ja latteiden- ja tarvikkeiden käyttöön.</w:t>
        <w:br/>
      </w:r>
      <w:r>
        <w:rPr/>
        <w:t>---</w:t>
      </w:r>
    </w:p>
    <w:p>
      <w:pPr>
        <w:pStyle w:val="Normal"/>
        <w:rPr/>
      </w:pPr>
      <w:r>
        <w:rPr>
          <w:b/>
          <w:bCs/>
        </w:rPr>
        <w:t>Kuvaus henkilökunnan ammattitaidon ja työhyvinvoinnin ylläpitämisestä ja osaamisen johtamisesta.</w:t>
        <w:br/>
      </w:r>
      <w:r>
        <w:rPr/>
        <w:t>---</w:t>
      </w:r>
    </w:p>
    <w:p>
      <w:pPr>
        <w:pStyle w:val="Normal"/>
        <w:rPr/>
      </w:pPr>
      <w:r>
        <w:rPr>
          <w:b/>
          <w:bCs/>
        </w:rPr>
        <w:t>Täydennyskoulutussuunnittelu- ja seurantamenettelyt, osaamisen, ammattitaidon ja sen kehittymisen seuranta, kehityskeskustelut.</w:t>
        <w:br/>
      </w:r>
      <w:r>
        <w:rPr/>
        <w:t>---</w:t>
      </w:r>
    </w:p>
    <w:p>
      <w:pPr>
        <w:pStyle w:val="Normal"/>
        <w:rPr>
          <w:b/>
          <w:b/>
          <w:bCs/>
        </w:rPr>
      </w:pPr>
      <w:r>
        <w:rPr>
          <w:b/>
          <w:bCs/>
        </w:rPr>
        <w:t>5. TOIMITILAT, LAITTEET JA TARVIKKEET</w:t>
      </w:r>
    </w:p>
    <w:p>
      <w:pPr>
        <w:pStyle w:val="Normal"/>
        <w:rPr/>
      </w:pPr>
      <w:r>
        <w:rPr>
          <w:b/>
          <w:bCs/>
        </w:rPr>
        <w:t>Kuvaus potilasturvallisuuden kannalta kriittisten tilojen suunnittelusta sekä tilojen soveltuvuudesta käyttötarkoitukseensa.</w:t>
        <w:br/>
      </w:r>
    </w:p>
    <w:tbl>
      <w:tblPr>
        <w:tblStyle w:val="TaulukkoRuudukko"/>
        <w:tblW w:w="9778" w:type="dxa"/>
        <w:jc w:val="left"/>
        <w:tblInd w:w="-108" w:type="dxa"/>
        <w:tblCellMar>
          <w:top w:w="0" w:type="dxa"/>
          <w:left w:w="108" w:type="dxa"/>
          <w:bottom w:w="0" w:type="dxa"/>
          <w:right w:w="108" w:type="dxa"/>
        </w:tblCellMar>
        <w:tblLook w:firstRow="1" w:noVBand="1" w:lastRow="0" w:firstColumn="1" w:lastColumn="0" w:noHBand="0" w:val="04a0"/>
      </w:tblPr>
      <w:tblGrid>
        <w:gridCol w:w="2093"/>
        <w:gridCol w:w="2835"/>
        <w:gridCol w:w="4850"/>
      </w:tblGrid>
      <w:tr>
        <w:trPr/>
        <w:tc>
          <w:tcPr>
            <w:tcW w:w="2093" w:type="dxa"/>
            <w:tcBorders/>
            <w:shd w:fill="auto" w:val="clear"/>
          </w:tcPr>
          <w:p>
            <w:pPr>
              <w:pStyle w:val="Normal"/>
              <w:spacing w:lineRule="auto" w:line="240" w:before="0" w:after="0"/>
              <w:rPr>
                <w:b/>
                <w:b/>
                <w:bCs/>
              </w:rPr>
            </w:pPr>
            <w:r>
              <w:rPr>
                <w:b/>
                <w:bCs/>
              </w:rPr>
              <w:t>Kohde</w:t>
            </w:r>
          </w:p>
        </w:tc>
        <w:tc>
          <w:tcPr>
            <w:tcW w:w="2835" w:type="dxa"/>
            <w:tcBorders/>
            <w:shd w:fill="auto" w:val="clear"/>
          </w:tcPr>
          <w:p>
            <w:pPr>
              <w:pStyle w:val="Normal"/>
              <w:spacing w:lineRule="auto" w:line="240" w:before="0" w:after="0"/>
              <w:rPr>
                <w:b/>
                <w:b/>
                <w:bCs/>
              </w:rPr>
            </w:pPr>
            <w:r>
              <w:rPr>
                <w:b/>
                <w:bCs/>
              </w:rPr>
              <w:t>kriittinen piste</w:t>
            </w:r>
          </w:p>
        </w:tc>
        <w:tc>
          <w:tcPr>
            <w:tcW w:w="4850" w:type="dxa"/>
            <w:tcBorders/>
            <w:shd w:fill="auto" w:val="clear"/>
          </w:tcPr>
          <w:p>
            <w:pPr>
              <w:pStyle w:val="Normal"/>
              <w:spacing w:lineRule="auto" w:line="240" w:before="0" w:after="0"/>
              <w:rPr>
                <w:b/>
                <w:b/>
                <w:bCs/>
              </w:rPr>
            </w:pPr>
            <w:r>
              <w:rPr>
                <w:b/>
                <w:bCs/>
              </w:rPr>
              <w:t>toimenpiteet</w:t>
            </w:r>
          </w:p>
        </w:tc>
      </w:tr>
      <w:tr>
        <w:trPr/>
        <w:tc>
          <w:tcPr>
            <w:tcW w:w="2093" w:type="dxa"/>
            <w:tcBorders/>
            <w:shd w:fill="auto" w:val="clear"/>
          </w:tcPr>
          <w:p>
            <w:pPr>
              <w:pStyle w:val="Normal"/>
              <w:spacing w:lineRule="auto" w:line="240" w:before="0" w:after="0"/>
              <w:rPr/>
            </w:pPr>
            <w:r>
              <w:rPr/>
              <w:t>Tiloihin saapuminen</w:t>
            </w:r>
          </w:p>
        </w:tc>
        <w:tc>
          <w:tcPr>
            <w:tcW w:w="2835" w:type="dxa"/>
            <w:tcBorders/>
            <w:shd w:fill="auto" w:val="clear"/>
          </w:tcPr>
          <w:p>
            <w:pPr>
              <w:pStyle w:val="Normal"/>
              <w:spacing w:lineRule="auto" w:line="240" w:before="0" w:after="0"/>
              <w:rPr/>
            </w:pPr>
            <w:r>
              <w:rPr/>
              <w:t>pääsy tai talvella liukastuminen</w:t>
            </w:r>
          </w:p>
        </w:tc>
        <w:tc>
          <w:tcPr>
            <w:tcW w:w="4850" w:type="dxa"/>
            <w:tcBorders/>
            <w:shd w:fill="auto" w:val="clear"/>
          </w:tcPr>
          <w:p>
            <w:pPr>
              <w:pStyle w:val="Normal"/>
              <w:spacing w:lineRule="auto" w:line="240" w:before="0" w:after="0"/>
              <w:rPr/>
            </w:pPr>
            <w:r>
              <w:rPr/>
              <w:t>Katutasossa sijaitseviin tiloihin on esteetön pääsy pyörätuoliramppia pitkin.</w:t>
              <w:br/>
              <w:t>Kiinteistön omistaja huolehtii liukkauden torjunnasta. Yrittäjät ilmoittavat hänelle, jos kulkuväylien kunnossapito ei ole ajan tasalla.</w:t>
            </w:r>
          </w:p>
        </w:tc>
      </w:tr>
      <w:tr>
        <w:trPr/>
        <w:tc>
          <w:tcPr>
            <w:tcW w:w="2093" w:type="dxa"/>
            <w:tcBorders/>
            <w:shd w:fill="auto" w:val="clear"/>
          </w:tcPr>
          <w:p>
            <w:pPr>
              <w:pStyle w:val="Normal"/>
              <w:spacing w:lineRule="auto" w:line="240" w:before="0" w:after="0"/>
              <w:rPr/>
            </w:pPr>
            <w:r>
              <w:rPr/>
              <w:t>Hoitotuoli</w:t>
            </w:r>
          </w:p>
        </w:tc>
        <w:tc>
          <w:tcPr>
            <w:tcW w:w="2835" w:type="dxa"/>
            <w:tcBorders/>
            <w:shd w:fill="auto" w:val="clear"/>
          </w:tcPr>
          <w:p>
            <w:pPr>
              <w:pStyle w:val="Normal"/>
              <w:spacing w:lineRule="auto" w:line="240" w:before="0" w:after="0"/>
              <w:rPr/>
            </w:pPr>
            <w:r>
              <w:rPr/>
              <w:t xml:space="preserve">Asiakas putoaa tuolista tai tuoli rikkoontuu kesken hoidon.  </w:t>
            </w:r>
          </w:p>
        </w:tc>
        <w:tc>
          <w:tcPr>
            <w:tcW w:w="4850" w:type="dxa"/>
            <w:tcBorders/>
            <w:shd w:fill="auto" w:val="clear"/>
          </w:tcPr>
          <w:p>
            <w:pPr>
              <w:pStyle w:val="Normal"/>
              <w:spacing w:lineRule="auto" w:line="240" w:before="0" w:after="0"/>
              <w:rPr/>
            </w:pPr>
            <w:r>
              <w:rPr/>
              <w:t xml:space="preserve">Jalkojenhoidot tehdään hoitotuolissa, joka on tarkoitettu nimenomaan jalkojenhoitoon. Tuoli on leveä ja siinä on tukevat käsinojat. Tuolin nosto, lasku </w:t>
            </w:r>
            <w:r>
              <w:rPr/>
              <w:t>ja kallistukset</w:t>
            </w:r>
            <w:r>
              <w:rPr/>
              <w:t xml:space="preserve"> on moottoroitu. </w:t>
              <w:br/>
            </w:r>
            <w:r>
              <w:rPr/>
              <w:t>Uusi hoitotuoli on ostettu maaliskuussa 2026.</w:t>
              <w:br/>
              <w:t>Tulin lisäksi on hankittu tukeva jakkara joka helpottaa tarvittaessa tuoliin nousua ja siitä poistumista.</w:t>
            </w:r>
          </w:p>
        </w:tc>
      </w:tr>
      <w:tr>
        <w:trPr/>
        <w:tc>
          <w:tcPr>
            <w:tcW w:w="2093" w:type="dxa"/>
            <w:tcBorders/>
            <w:shd w:fill="auto" w:val="clear"/>
          </w:tcPr>
          <w:p>
            <w:pPr>
              <w:pStyle w:val="Normal"/>
              <w:spacing w:lineRule="auto" w:line="240" w:before="0" w:after="0"/>
              <w:rPr/>
            </w:pPr>
            <w:r>
              <w:rPr/>
              <w:t>Instrumentit</w:t>
            </w:r>
          </w:p>
        </w:tc>
        <w:tc>
          <w:tcPr>
            <w:tcW w:w="2835" w:type="dxa"/>
            <w:tcBorders/>
            <w:shd w:fill="auto" w:val="clear"/>
          </w:tcPr>
          <w:p>
            <w:pPr>
              <w:pStyle w:val="Normal"/>
              <w:spacing w:lineRule="auto" w:line="240" w:before="0" w:after="0"/>
              <w:rPr/>
            </w:pPr>
            <w:r>
              <w:rPr/>
              <w:t>Rikkoontuneet instrumentit, epäsopivat materiaalit ovat myös hygieniariski</w:t>
            </w:r>
          </w:p>
        </w:tc>
        <w:tc>
          <w:tcPr>
            <w:tcW w:w="4850" w:type="dxa"/>
            <w:tcBorders/>
            <w:shd w:fill="auto" w:val="clear"/>
          </w:tcPr>
          <w:p>
            <w:pPr>
              <w:pStyle w:val="Normal"/>
              <w:spacing w:lineRule="auto" w:line="240" w:before="0" w:after="0"/>
              <w:rPr/>
            </w:pPr>
            <w:r>
              <w:rPr/>
              <w:t>Jalkojenhoito instrumentit on hankittu tunnetulta toimittajilta / jälleenmyyjiltä. Ne kestävät riittävän kuuman steriloinnin mikrobien ja niiden itiöiden poistamiseksi.</w:t>
              <w:br/>
            </w:r>
          </w:p>
        </w:tc>
      </w:tr>
      <w:tr>
        <w:trPr/>
        <w:tc>
          <w:tcPr>
            <w:tcW w:w="2093" w:type="dxa"/>
            <w:tcBorders/>
            <w:shd w:fill="auto" w:val="clear"/>
          </w:tcPr>
          <w:p>
            <w:pPr>
              <w:pStyle w:val="Normal"/>
              <w:spacing w:lineRule="auto" w:line="240" w:before="0" w:after="0"/>
              <w:rPr/>
            </w:pPr>
            <w:r>
              <w:rPr/>
              <w:t>Pora</w:t>
            </w:r>
          </w:p>
        </w:tc>
        <w:tc>
          <w:tcPr>
            <w:tcW w:w="2835" w:type="dxa"/>
            <w:tcBorders/>
            <w:shd w:fill="auto" w:val="clear"/>
          </w:tcPr>
          <w:p>
            <w:pPr>
              <w:pStyle w:val="Normal"/>
              <w:spacing w:lineRule="auto" w:line="240" w:before="0" w:after="0"/>
              <w:rPr/>
            </w:pPr>
            <w:r>
              <w:rPr/>
              <w:t>Käytettynä ostettu vesipora on huollettu suomalaisella jälleenmyyjällä (Hoitolatukku) säännöllisesti.</w:t>
              <w:br/>
            </w:r>
            <w:r>
              <w:rPr/>
              <w:t>Varapora, Marathon 3 kuivapora on ostettu käytettynä marraskuussa 2025.</w:t>
            </w:r>
            <w:r>
              <w:rPr/>
              <w:t xml:space="preserve"> </w:t>
            </w:r>
          </w:p>
          <w:p>
            <w:pPr>
              <w:pStyle w:val="Normal"/>
              <w:spacing w:lineRule="auto" w:line="240" w:before="0" w:after="0"/>
              <w:rPr/>
            </w:pPr>
            <w:r>
              <w:rPr/>
              <w:t>Uusi vesipora,</w:t>
            </w:r>
            <w:r>
              <w:rPr>
                <w:rFonts w:ascii="Calibri" w:hAnsi="Calibri"/>
                <w:sz w:val="22"/>
                <w:szCs w:val="22"/>
              </w:rPr>
              <w:t xml:space="preserve">  </w:t>
            </w:r>
            <w:r>
              <w:rPr>
                <w:rFonts w:ascii="Calibri" w:hAnsi="Calibri"/>
                <w:sz w:val="22"/>
                <w:szCs w:val="22"/>
              </w:rPr>
              <w:t xml:space="preserve">Hadewe Hyperios 5 Chrome </w:t>
            </w:r>
            <w:r>
              <w:rPr/>
              <w:t>on ostettu maaliskuussa 2026</w:t>
            </w:r>
          </w:p>
          <w:p>
            <w:pPr>
              <w:pStyle w:val="Normal"/>
              <w:spacing w:lineRule="auto" w:line="240" w:before="0" w:after="0"/>
              <w:rPr/>
            </w:pPr>
            <w:r>
              <w:rPr/>
              <w:t xml:space="preserve">Vanha vesipora on siirretty yhteistyökumppanin käyttöön hoivakotikäynneille. </w:t>
            </w:r>
          </w:p>
        </w:tc>
        <w:tc>
          <w:tcPr>
            <w:tcW w:w="4850" w:type="dxa"/>
            <w:tcBorders/>
            <w:shd w:fill="auto" w:val="clear"/>
          </w:tcPr>
          <w:p>
            <w:pPr>
              <w:pStyle w:val="Normal"/>
              <w:spacing w:lineRule="auto" w:line="240" w:before="0" w:after="0"/>
              <w:rPr/>
            </w:pPr>
            <w:r>
              <w:rPr/>
              <w:t xml:space="preserve">Porat huolletaan säännöllisesti käyttötuntien mukaisesti </w:t>
            </w:r>
            <w:r>
              <w:rPr/>
              <w:t>Hoitolatukussa</w:t>
            </w:r>
            <w:r>
              <w:rPr/>
              <w:t xml:space="preserve">. Hyperios porassa on automaattinen tuntilaskuri. </w:t>
              <w:br/>
              <w:t>Marathon pora on varaporana jos laitteet rikkoontu</w:t>
            </w:r>
            <w:r>
              <w:rPr/>
              <w:t>vat</w:t>
            </w:r>
            <w:r>
              <w:rPr/>
              <w:t xml:space="preserve"> äkillisesti.</w:t>
            </w:r>
          </w:p>
        </w:tc>
      </w:tr>
      <w:tr>
        <w:trPr/>
        <w:tc>
          <w:tcPr>
            <w:tcW w:w="2093" w:type="dxa"/>
            <w:tcBorders/>
            <w:shd w:fill="auto" w:val="clear"/>
          </w:tcPr>
          <w:p>
            <w:pPr>
              <w:pStyle w:val="Normal"/>
              <w:spacing w:lineRule="auto" w:line="240" w:before="0" w:after="0"/>
              <w:rPr/>
            </w:pPr>
            <w:r>
              <w:rPr/>
              <w:t>Välinehuolto</w:t>
            </w:r>
          </w:p>
        </w:tc>
        <w:tc>
          <w:tcPr>
            <w:tcW w:w="2835" w:type="dxa"/>
            <w:tcBorders/>
            <w:shd w:fill="auto" w:val="clear"/>
          </w:tcPr>
          <w:p>
            <w:pPr>
              <w:pStyle w:val="Normal"/>
              <w:spacing w:lineRule="auto" w:line="240" w:before="0" w:after="0"/>
              <w:rPr/>
            </w:pPr>
            <w:r>
              <w:rPr/>
              <w:t>Kontaminaatio / ristikontaminaatio</w:t>
            </w:r>
          </w:p>
        </w:tc>
        <w:tc>
          <w:tcPr>
            <w:tcW w:w="4850" w:type="dxa"/>
            <w:tcBorders/>
            <w:shd w:fill="auto" w:val="clear"/>
          </w:tcPr>
          <w:p>
            <w:pPr>
              <w:pStyle w:val="Normal"/>
              <w:spacing w:lineRule="auto" w:line="240" w:before="0" w:after="0"/>
              <w:rPr/>
            </w:pPr>
            <w:r>
              <w:rPr/>
              <w:t>Välinehuolto on järjestetty erilliseen tilaan, jossa on vesipiste sekä pöytä- ja hyllytilaa tarvikkeille ja pesuaineille.</w:t>
            </w:r>
          </w:p>
          <w:p>
            <w:pPr>
              <w:pStyle w:val="Normal"/>
              <w:spacing w:lineRule="auto" w:line="240" w:before="0" w:after="0"/>
              <w:rPr/>
            </w:pPr>
            <w:r>
              <w:rPr/>
              <w:t xml:space="preserve">Pöytätasot ja alahyllyjen vapaat tasot desinfioidaan pyyhkimällä välinehuoltotilan käytön aloitettaessa ja lopetettaessa päivittäin. </w:t>
              <w:br/>
              <w:t xml:space="preserve">Käytetyt välineet säilytetään siihen tarkoitetussa suljetussa rasiassa pesuun asti. Käytettyjä välineitä ei lasketa puhtaalle pöydälle, vaan niiden käsittely tapahtuu tiskialtaassa / tiskipöydällä.   </w:t>
              <w:br/>
              <w:t xml:space="preserve">Steriloinnin onnistuminen varmistetaan jokainen kerta indikaattoriteipillä. </w:t>
            </w:r>
          </w:p>
        </w:tc>
      </w:tr>
      <w:tr>
        <w:trPr/>
        <w:tc>
          <w:tcPr>
            <w:tcW w:w="2093" w:type="dxa"/>
            <w:tcBorders/>
            <w:shd w:fill="auto" w:val="clear"/>
          </w:tcPr>
          <w:p>
            <w:pPr>
              <w:pStyle w:val="Normal"/>
              <w:spacing w:lineRule="auto" w:line="240" w:before="0" w:after="0"/>
              <w:rPr/>
            </w:pPr>
            <w:r>
              <w:rPr/>
              <w:t>Pesu- ja puhdistusaineet</w:t>
            </w:r>
          </w:p>
        </w:tc>
        <w:tc>
          <w:tcPr>
            <w:tcW w:w="2835" w:type="dxa"/>
            <w:tcBorders/>
            <w:shd w:fill="auto" w:val="clear"/>
          </w:tcPr>
          <w:p>
            <w:pPr>
              <w:pStyle w:val="Normal"/>
              <w:spacing w:lineRule="auto" w:line="240" w:before="0" w:after="0"/>
              <w:rPr/>
            </w:pPr>
            <w:r>
              <w:rPr/>
              <w:t>Aineiden teho ei ole riittävä, liuosvahvuudet ovat väärät</w:t>
            </w:r>
          </w:p>
        </w:tc>
        <w:tc>
          <w:tcPr>
            <w:tcW w:w="4850" w:type="dxa"/>
            <w:tcBorders/>
            <w:shd w:fill="auto" w:val="clear"/>
          </w:tcPr>
          <w:p>
            <w:pPr>
              <w:pStyle w:val="Normal"/>
              <w:spacing w:lineRule="auto" w:line="240" w:before="0" w:after="0"/>
              <w:rPr/>
            </w:pPr>
            <w:r>
              <w:rPr/>
              <w:t xml:space="preserve">Käytössä on luotettavalta valmistajalta /  toimittajalta hankitut aineet, joiden valmistajan antamia annosteluohjeita, lämpötiloja ja käyttöaikoja noudatetaan. </w:t>
            </w:r>
          </w:p>
        </w:tc>
      </w:tr>
      <w:tr>
        <w:trPr/>
        <w:tc>
          <w:tcPr>
            <w:tcW w:w="2093" w:type="dxa"/>
            <w:tcBorders/>
            <w:shd w:fill="auto" w:val="clear"/>
          </w:tcPr>
          <w:p>
            <w:pPr>
              <w:pStyle w:val="Normal"/>
              <w:spacing w:lineRule="auto" w:line="240" w:before="0" w:after="0"/>
              <w:rPr/>
            </w:pPr>
            <w:r>
              <w:rPr/>
              <w:t>Hoitajan hygienia</w:t>
            </w:r>
          </w:p>
        </w:tc>
        <w:tc>
          <w:tcPr>
            <w:tcW w:w="2835" w:type="dxa"/>
            <w:tcBorders/>
            <w:shd w:fill="auto" w:val="clear"/>
          </w:tcPr>
          <w:p>
            <w:pPr>
              <w:pStyle w:val="Normal"/>
              <w:spacing w:lineRule="auto" w:line="240" w:before="0" w:after="0"/>
              <w:rPr/>
            </w:pPr>
            <w:r>
              <w:rPr/>
              <w:t>Hoitaja aiheuttaa kontaminaatioriskin  asiakkaalle omalla toiminnallaan</w:t>
            </w:r>
          </w:p>
        </w:tc>
        <w:tc>
          <w:tcPr>
            <w:tcW w:w="4850" w:type="dxa"/>
            <w:tcBorders/>
            <w:shd w:fill="auto" w:val="clear"/>
          </w:tcPr>
          <w:p>
            <w:pPr>
              <w:pStyle w:val="Normal"/>
              <w:spacing w:lineRule="auto" w:line="240" w:before="0" w:after="0"/>
              <w:rPr/>
            </w:pPr>
            <w:r>
              <w:rPr/>
              <w:t>Hoitaja pitää kertakäyttöisiä</w:t>
            </w:r>
          </w:p>
          <w:p>
            <w:pPr>
              <w:pStyle w:val="Normal"/>
              <w:spacing w:lineRule="auto" w:line="240" w:before="0" w:after="0"/>
              <w:rPr/>
            </w:pPr>
            <w:r>
              <w:rPr/>
              <w:t xml:space="preserve">suojavarusteita hoitoa tehdessään. hoitokohtaiset: Suojaessu, maski sekä asiakkaan jalkojen alla oleva pyyhe ja suojapaperi. </w:t>
              <w:br/>
              <w:t xml:space="preserve">Kk nitriilikäsineitä vaihdetaan ja käsiä desinfioidaan useamman kerran hoidon aikana.  </w:t>
              <w:br/>
              <w:t>Kädet ja kyynärvarret pestään huolellisesti aina hoidon päätyttyä.</w:t>
              <w:br/>
              <w:t>Hoitaja käyttää kertakäyttömyssyä joka vaihdetaan päivittäin.</w:t>
            </w:r>
          </w:p>
        </w:tc>
      </w:tr>
    </w:tbl>
    <w:p>
      <w:pPr>
        <w:pStyle w:val="Normal"/>
        <w:rPr/>
      </w:pPr>
      <w:r>
        <w:rPr/>
      </w:r>
    </w:p>
    <w:p>
      <w:pPr>
        <w:pStyle w:val="Normal"/>
        <w:rPr/>
      </w:pPr>
      <w:r>
        <w:rPr>
          <w:b/>
          <w:bCs/>
        </w:rPr>
        <w:t>Kuvaus tilojen järjestämisestä, kulunvalvonnasta sekä murto- ja palosuojauksesta. Erityistä huomiota kuvauksessa tulee kiinnittää lääkehuolto- ja laboratoriotiloihin.</w:t>
        <w:br/>
      </w:r>
      <w:r>
        <w:rPr/>
        <w:t>Hätäpoistumistiet on merkitty asianomaisin kyltein. Turvallisuussuunnitelma on laadittu vuokranantajan kanssa yhteistyössä. Toiminnassa ei toteuteta lääkehoitoa eikä laboratoriotoimintoja.</w:t>
      </w:r>
    </w:p>
    <w:p>
      <w:pPr>
        <w:pStyle w:val="Normal"/>
        <w:rPr>
          <w:b/>
          <w:b/>
          <w:bCs/>
        </w:rPr>
      </w:pPr>
      <w:r>
        <w:rPr>
          <w:b/>
          <w:bCs/>
        </w:rPr>
        <w:t>Kuvaus siivous, jätehuoltoon ja vaarallisten jätteiden käsittelyyn liittyvistä menettelyistä. Erityistä huomiota on kiinnitettävä tartuntavaarallisiin jätteisiin liittyviin käytäntöihin. (STTV:n oppaita 3.2006)</w:t>
        <w:br/>
      </w:r>
      <w:r>
        <w:rPr/>
        <w:t xml:space="preserve">Yrittäjä huolehtii siivouksesta itse. </w:t>
        <w:br/>
        <w:t>Jokaisen jalkojenhoito asiakkaan jälkeen hoitotuoli, käytetyt laitteet, tarvikkeet, lähitasot sekä lattia pyyhitään desinfiointiaineella kostutetulla kertakäyttöpyyhkeellä. Käytetyt instrumentit laitetaan suljettavaan rasiaan.</w:t>
        <w:br/>
        <w:t xml:space="preserve">Hoitotilan lattiat kostea pyyhitään päivän viimeisen asiakkaan jälkeen desinfioivalla yleispesuaineella. </w:t>
        <w:br/>
        <w:t xml:space="preserve">Jalkojenhoidosta tulleet muut jätteet, paitsi terävät (veitsen terät), laitetaan sekajätteeksi. Roska-astiat tyhjennetään aina päivän päätteeksi ja viedään sekajätteeseen.  Terävät jätteet laitetaan särmäjäteastiaan, jonka täytyttyä viedään apteekkiin. </w:t>
        <w:br/>
        <w:t xml:space="preserve">Muut jätteet lajitellaan. </w:t>
      </w:r>
      <w:r>
        <w:rPr>
          <w:b/>
          <w:bCs/>
        </w:rPr>
        <w:br/>
        <w:t xml:space="preserve"> </w:t>
      </w:r>
    </w:p>
    <w:p>
      <w:pPr>
        <w:pStyle w:val="Normal"/>
        <w:rPr>
          <w:b/>
          <w:b/>
          <w:bCs/>
        </w:rPr>
      </w:pPr>
      <w:r>
        <w:rPr>
          <w:b/>
          <w:bCs/>
        </w:rPr>
        <w:t>Terveydenhuollon laitteella tarkoitetaan terveydenhuollon laitteista ja tarvikkeista annetun lain (629/2010) 5 §:n mukaan instrumenttia, laitteistoa, välinettä, ohjelmistoa, materiaalia tai muuta yksinään tai yhdistelmänä käytettävää laitetta tai tarviketta, jonka valmistaja on tarkoittanut muun muassa ihmisen sairauden diagnosointiin, ehkäisyyn, tarkkailuun, hoitoon tai lievitykseen.</w:t>
      </w:r>
    </w:p>
    <w:p>
      <w:pPr>
        <w:pStyle w:val="Normal"/>
        <w:rPr>
          <w:b/>
          <w:b/>
          <w:bCs/>
        </w:rPr>
      </w:pPr>
      <w:r>
        <w:rPr>
          <w:b/>
          <w:bCs/>
        </w:rPr>
        <w:t>Toiminnanharjoittajan velvollisuuksista on säädetty terveydenhuollon laitteista ja tarvikkeista annetun lain 24–26 §:ssä sekä Sosiaali- ja terveysalan lupa- ja valvontaviraston antamissa määräyksissä 1-4/2010. Terveydenhuollon laitteiden ja tarvikkeiden aiheuttamista vaaratilanteista tehdään ilmoitus Lääkealan turvallisuus- ja kehittämiskeskukselle.</w:t>
      </w:r>
    </w:p>
    <w:p>
      <w:pPr>
        <w:pStyle w:val="Normal"/>
        <w:rPr>
          <w:b/>
          <w:b/>
          <w:bCs/>
        </w:rPr>
      </w:pPr>
      <w:r>
        <w:rPr>
          <w:b/>
          <w:bCs/>
        </w:rPr>
        <w:t>Omavalvontasuunnitelmassa toimintayksikölle nimetään ammattimaisesti käytettävien laitteiden ja tarvikkeiden turvallisuudesta vastaava henkilö, joka huolehtii vaaratilanteita koskevien ilmoitusten ja muiden laitteisiin liittyvien määräysten noudattamisesta.</w:t>
      </w:r>
    </w:p>
    <w:p>
      <w:pPr>
        <w:pStyle w:val="Normal"/>
        <w:rPr/>
      </w:pPr>
      <w:r>
        <w:rPr>
          <w:b/>
          <w:bCs/>
        </w:rPr>
        <w:t>Vastuuhenkilön nimi ja yhteystiedot:</w:t>
        <w:br/>
      </w:r>
      <w:r>
        <w:rPr/>
        <w:t>Pauliina Lukkarinen</w:t>
        <w:br/>
        <w:t>050 5</w:t>
      </w:r>
      <w:r>
        <w:rPr/>
        <w:t>17 9392</w:t>
      </w:r>
      <w:r>
        <w:rPr/>
        <w:br/>
        <w:t>info@eterneco.fi</w:t>
      </w:r>
    </w:p>
    <w:p>
      <w:pPr>
        <w:pStyle w:val="Normal"/>
        <w:rPr/>
      </w:pPr>
      <w:r>
        <w:rPr>
          <w:b/>
          <w:bCs/>
        </w:rPr>
        <w:t>Kuvaus toimipaikassa olevista terveydenhuollon laitteista ja tarvikkeista.</w:t>
        <w:br/>
      </w:r>
    </w:p>
    <w:p>
      <w:pPr>
        <w:pStyle w:val="Normal"/>
        <w:rPr/>
      </w:pPr>
      <w:r>
        <w:rPr>
          <w:b/>
          <w:bCs/>
        </w:rPr>
        <w:br/>
      </w:r>
      <w:r>
        <w:rPr>
          <w:rFonts w:ascii="Calibri" w:hAnsi="Calibri"/>
          <w:b w:val="false"/>
          <w:bCs w:val="false"/>
          <w:sz w:val="22"/>
          <w:szCs w:val="22"/>
        </w:rPr>
        <w:t>Hadewe Hyperios 5 Chrome vesipora valolla</w:t>
        <w:br/>
      </w:r>
      <w:r>
        <w:rPr/>
        <w:t>Nestesumuyksikkö, JetSpray</w:t>
        <w:br/>
      </w:r>
      <w:r>
        <w:rPr/>
        <w:t>Marathon 3 kuivapora</w:t>
      </w:r>
      <w:r>
        <w:rPr/>
        <w:br/>
        <w:t>UÄ-pesuri, Kramfors</w:t>
        <w:br/>
        <w:t>kuumailmasterilaattori, NOVA</w:t>
      </w:r>
      <w:r>
        <w:rPr>
          <w:rFonts w:cs="Calibri" w:cstheme="minorHAnsi"/>
        </w:rPr>
        <w:t>®</w:t>
      </w:r>
      <w:r>
        <w:rPr/>
        <w:t>KH-360B</w:t>
        <w:br/>
        <w:t>kuumailmasterilaattori, Melag</w:t>
        <w:br/>
        <w:t>Jalkojenhoidon välineet ja instrumentit:</w:t>
        <w:br/>
        <w:t>kynsileikkurit</w:t>
        <w:br/>
        <w:t>tutkimusinstrumentit</w:t>
        <w:br/>
        <w:t>poran terät</w:t>
        <w:br/>
        <w:t>Verrutop® syylänpoistoliuos</w:t>
      </w:r>
    </w:p>
    <w:p>
      <w:pPr>
        <w:pStyle w:val="Normal"/>
        <w:rPr>
          <w:rFonts w:cs="Calibri" w:cstheme="minorHAnsi"/>
          <w:color w:val="000000"/>
          <w:highlight w:val="green"/>
        </w:rPr>
      </w:pPr>
      <w:r>
        <w:rPr>
          <w:b/>
          <w:bCs/>
        </w:rPr>
        <w:t>Kuvaus menettelytavoista laitteisiin ja tarvikkeisiin liittyvien vaaratilanteiden ilmoitusten tekemisestä ja muiden laitteisiin ja tarvikkeisiin liittyvien määräysten noudattamisesta.</w:t>
        <w:br/>
      </w:r>
      <w:r>
        <w:rPr>
          <w:rFonts w:cs="Calibri" w:cstheme="minorHAnsi"/>
          <w:color w:val="000000"/>
          <w:shd w:fill="FEFFFE" w:val="clear"/>
        </w:rPr>
        <w:t>Laitteiden vaaratilanteesta ilmoitetaan Fimealle sekä valmistajalle / valtuutetulle edustajalle / maahantuojalle / jakelijalle.</w:t>
      </w:r>
    </w:p>
    <w:p>
      <w:pPr>
        <w:pStyle w:val="Normal"/>
        <w:rPr/>
      </w:pPr>
      <w:hyperlink r:id="rId5">
        <w:r>
          <w:rPr>
            <w:rStyle w:val="Internetlinkki"/>
            <w:rFonts w:cs="Calibri" w:cstheme="minorHAnsi"/>
          </w:rPr>
          <w:t>https://www.fimea.fi/laakinnalliset_laitteet/vaatimukset-ammattimaisille-kayttajille/vaaratilanteista-ilmoittaminen</w:t>
        </w:r>
      </w:hyperlink>
    </w:p>
    <w:p>
      <w:pPr>
        <w:pStyle w:val="Normal"/>
        <w:rPr>
          <w:rFonts w:cs="Calibri" w:cstheme="minorHAnsi"/>
        </w:rPr>
      </w:pPr>
      <w:r>
        <w:rPr>
          <w:rFonts w:cs="Calibri" w:cstheme="minorHAnsi"/>
        </w:rPr>
        <w:t xml:space="preserve">Laitteita ja muita, esim. pesuaineita käytettäessä noudatetaan valmistajan antamia ohjeita. </w:t>
        <w:br/>
        <w:t xml:space="preserve">Välinehuollon seinällä on tulostettuna käyttöturvallisuusilmoitukset kaikista käytössä olevista pesuaineista. </w:t>
      </w:r>
    </w:p>
    <w:p>
      <w:pPr>
        <w:pStyle w:val="Normal"/>
        <w:rPr/>
      </w:pPr>
      <w:r>
        <w:rPr>
          <w:b/>
          <w:bCs/>
        </w:rPr>
        <w:t>Säteilyn käyttö terveydenhuollossa Ionisoivan säteilyn käyttö terveydenhuollossa edellyttää Suomessa säteilylain (859/2018) 48 §:n mukaista Säteilyturvakeskuksen turvallisuuslupaa, ellei käytettävät toiminnot ole vapautettu turvallisuusluvasta säteilylain 49 §:ssä.</w:t>
        <w:br/>
      </w:r>
      <w:r>
        <w:rPr/>
        <w:t>Toiminnassa ei käytetä säteilyä.</w:t>
      </w:r>
    </w:p>
    <w:p>
      <w:pPr>
        <w:pStyle w:val="Normal"/>
        <w:rPr/>
      </w:pPr>
      <w:r>
        <w:rPr>
          <w:b/>
          <w:bCs/>
        </w:rPr>
        <w:t>Säteilyturvallisuuskeskuksen turvallisuuslupa myönnetty</w:t>
        <w:br/>
      </w:r>
      <w:r>
        <w:rPr/>
        <w:t>---</w:t>
      </w:r>
    </w:p>
    <w:p>
      <w:pPr>
        <w:pStyle w:val="Normal"/>
        <w:rPr/>
      </w:pPr>
      <w:r>
        <w:rPr>
          <w:b/>
          <w:bCs/>
        </w:rPr>
        <w:t>Kliinisen mikrobiologian laboratoriotoiminta</w:t>
        <w:br/>
      </w:r>
      <w:r>
        <w:rPr/>
        <w:t>---</w:t>
      </w:r>
    </w:p>
    <w:p>
      <w:pPr>
        <w:pStyle w:val="Normal"/>
        <w:rPr>
          <w:b/>
          <w:b/>
          <w:bCs/>
        </w:rPr>
      </w:pPr>
      <w:r>
        <w:rPr>
          <w:b/>
          <w:bCs/>
        </w:rPr>
        <w:t>Tartuntatautien vastustamistyössä tarvittavia laboratoriotutkimuksia ja tehtäviä voidaan suorittaa aluehallintovirastojen hyväksymässä laboratoriossa. Tartuntatautilaki (1227/2016) 18 §.</w:t>
      </w:r>
    </w:p>
    <w:p>
      <w:pPr>
        <w:pStyle w:val="Normal"/>
        <w:rPr/>
      </w:pPr>
      <w:r>
        <w:rPr>
          <w:b/>
          <w:bCs/>
        </w:rPr>
        <w:t xml:space="preserve">Kliinisen mikrobiologian laboratorion toimilupa voimassa </w:t>
      </w:r>
      <w:r>
        <w:rPr/>
        <w:t xml:space="preserve">--- </w:t>
      </w:r>
      <w:r>
        <w:rPr>
          <w:b/>
          <w:bCs/>
        </w:rPr>
        <w:t>asti.</w:t>
        <w:br/>
      </w:r>
      <w:r>
        <w:rPr/>
        <w:t>---</w:t>
      </w:r>
    </w:p>
    <w:p>
      <w:pPr>
        <w:pStyle w:val="Normal"/>
        <w:rPr/>
      </w:pPr>
      <w:r>
        <w:rPr>
          <w:b/>
          <w:bCs/>
        </w:rPr>
        <w:t>6. POTILASASIA</w:t>
      </w:r>
      <w:r>
        <w:rPr>
          <w:b/>
          <w:bCs/>
        </w:rPr>
        <w:t>VASTAAVA</w:t>
      </w:r>
    </w:p>
    <w:p>
      <w:pPr>
        <w:pStyle w:val="NormalWeb"/>
        <w:shd w:val="clear" w:color="auto" w:fill="FFFFFF"/>
        <w:spacing w:beforeAutospacing="0" w:before="0" w:after="160"/>
        <w:rPr/>
      </w:pPr>
      <w:r>
        <w:rPr>
          <w:b/>
          <w:bCs/>
        </w:rPr>
        <w:t>Potilasasia</w:t>
      </w:r>
      <w:r>
        <w:rPr>
          <w:b/>
          <w:bCs/>
        </w:rPr>
        <w:t>vastaavan</w:t>
      </w:r>
      <w:r>
        <w:rPr>
          <w:b/>
          <w:bCs/>
        </w:rPr>
        <w:t xml:space="preserve"> nimi ja yhteystiedot</w:t>
        <w:br/>
      </w:r>
      <w:r>
        <w:rPr>
          <w:rStyle w:val="Strong"/>
          <w:rFonts w:cs="Calibri" w:ascii="Calibri" w:hAnsi="Calibri" w:asciiTheme="minorHAnsi" w:cstheme="minorHAnsi" w:hAnsiTheme="minorHAnsi"/>
          <w:b w:val="false"/>
          <w:bCs w:val="false"/>
          <w:color w:val="212529"/>
          <w:sz w:val="22"/>
          <w:szCs w:val="22"/>
        </w:rPr>
        <w:t>Pohjois-Savon hyvinvointialue ilmoittaa verkkosivuillaan seuraavat tiedot, henkilöitä ei ole nimetty</w:t>
        <w:br/>
      </w:r>
      <w:r>
        <w:rPr>
          <w:rStyle w:val="Strong"/>
          <w:rFonts w:eastAsia="Calibri" w:cs="Calibri" w:ascii="Calibri" w:hAnsi="Calibri" w:asciiTheme="minorHAnsi" w:cstheme="minorHAnsi" w:hAnsiTheme="minorHAnsi"/>
          <w:b w:val="false"/>
          <w:bCs w:val="false"/>
          <w:i w:val="false"/>
          <w:caps w:val="false"/>
          <w:smallCaps w:val="false"/>
          <w:color w:val="212529"/>
          <w:spacing w:val="0"/>
          <w:sz w:val="22"/>
          <w:szCs w:val="22"/>
          <w:lang w:eastAsia="en-US"/>
        </w:rPr>
        <w:t>Erikoissairaanhoidon potilasasiavastaavat</w:t>
        <w:br/>
      </w:r>
      <w:r>
        <w:rPr>
          <w:rStyle w:val="Strong"/>
          <w:rFonts w:eastAsia="Calibri" w:cs="Calibri" w:ascii="Calibri" w:hAnsi="Calibri" w:asciiTheme="minorHAnsi" w:cstheme="minorHAnsi" w:hAnsiTheme="minorHAnsi"/>
          <w:b w:val="false"/>
          <w:bCs w:val="false"/>
          <w:i w:val="false"/>
          <w:caps w:val="false"/>
          <w:smallCaps w:val="false"/>
          <w:color w:val="212529"/>
          <w:spacing w:val="0"/>
          <w:sz w:val="22"/>
          <w:szCs w:val="22"/>
          <w:lang w:eastAsia="en-US"/>
        </w:rPr>
        <w:t>044 461 0511</w:t>
      </w:r>
      <w:r>
        <w:rPr>
          <w:rStyle w:val="Strong"/>
          <w:rFonts w:eastAsia="Calibri" w:cs="Calibri" w:ascii="Calibri" w:hAnsi="Calibri" w:asciiTheme="minorHAnsi" w:cstheme="minorHAnsi" w:hAnsiTheme="minorHAnsi"/>
          <w:b w:val="false"/>
          <w:bCs w:val="false"/>
          <w:i w:val="false"/>
          <w:caps w:val="false"/>
          <w:smallCaps w:val="false"/>
          <w:color w:val="212529"/>
          <w:spacing w:val="0"/>
          <w:sz w:val="22"/>
          <w:szCs w:val="22"/>
          <w:lang w:eastAsia="en-US"/>
        </w:rPr>
        <w:t xml:space="preserve"> </w:t>
      </w:r>
      <w:r>
        <w:rPr>
          <w:rFonts w:ascii="Calibri" w:hAnsi="Calibri"/>
          <w:b w:val="false"/>
          <w:bCs w:val="false"/>
          <w:i w:val="false"/>
          <w:caps w:val="false"/>
          <w:smallCaps w:val="false"/>
          <w:strike w:val="false"/>
          <w:dstrike w:val="false"/>
          <w:color w:val="0A3DB2"/>
          <w:spacing w:val="0"/>
          <w:sz w:val="22"/>
          <w:szCs w:val="22"/>
          <w:u w:val="none"/>
          <w:effect w:val="none"/>
        </w:rPr>
        <w:br/>
      </w:r>
      <w:r>
        <w:rPr>
          <w:rFonts w:ascii="Calibri" w:hAnsi="Calibri"/>
          <w:b w:val="false"/>
          <w:bCs w:val="false"/>
          <w:i w:val="false"/>
          <w:caps w:val="false"/>
          <w:smallCaps w:val="false"/>
          <w:color w:val="212529"/>
          <w:spacing w:val="0"/>
          <w:sz w:val="22"/>
          <w:szCs w:val="22"/>
        </w:rPr>
        <w:t>Perusterveydenhuollon potilasiavastaavat</w:t>
        <w:br/>
      </w:r>
      <w:hyperlink r:id="rId6" w:tgtFrame="_blank">
        <w:r>
          <w:rPr>
            <w:rStyle w:val="Internetlinkki"/>
            <w:rFonts w:ascii="Calibri" w:hAnsi="Calibri"/>
            <w:b w:val="false"/>
            <w:i w:val="false"/>
            <w:caps w:val="false"/>
            <w:smallCaps w:val="false"/>
            <w:strike w:val="false"/>
            <w:dstrike w:val="false"/>
            <w:color w:val="000000"/>
            <w:spacing w:val="0"/>
            <w:sz w:val="22"/>
            <w:szCs w:val="22"/>
            <w:u w:val="none"/>
            <w:effect w:val="none"/>
          </w:rPr>
          <w:t>044 461 0850</w:t>
        </w:r>
      </w:hyperlink>
      <w:r>
        <w:rPr>
          <w:rFonts w:eastAsia="Calibri" w:cs="" w:ascii="Calibri" w:hAnsi="Calibri" w:asciiTheme="minorHAnsi" w:cstheme="minorBidi" w:eastAsiaTheme="minorHAnsi" w:hAnsiTheme="minorHAnsi"/>
          <w:sz w:val="22"/>
          <w:szCs w:val="22"/>
          <w:lang w:eastAsia="en-US"/>
        </w:rPr>
        <w:br/>
      </w:r>
      <w:hyperlink r:id="rId7">
        <w:r>
          <w:rPr>
            <w:rStyle w:val="Internetlinkki"/>
            <w:rFonts w:eastAsia="Calibri" w:cs="" w:ascii="Calibri" w:hAnsi="Calibri" w:asciiTheme="minorHAnsi" w:cstheme="minorBidi" w:eastAsiaTheme="minorHAnsi" w:hAnsiTheme="minorHAnsi"/>
            <w:sz w:val="22"/>
            <w:szCs w:val="22"/>
            <w:u w:val="none"/>
            <w:lang w:eastAsia="en-US"/>
          </w:rPr>
          <w:t>potilasasiavastaava@pshyvinvointialue.fi</w:t>
        </w:r>
      </w:hyperlink>
      <w:r>
        <w:rPr>
          <w:rFonts w:eastAsia="Calibri" w:cs="" w:ascii="Calibri" w:hAnsi="Calibri" w:asciiTheme="minorHAnsi" w:cstheme="minorBidi" w:eastAsiaTheme="minorHAnsi" w:hAnsiTheme="minorHAnsi"/>
          <w:sz w:val="22"/>
          <w:szCs w:val="22"/>
          <w:lang w:eastAsia="en-US"/>
        </w:rPr>
        <w:br/>
      </w:r>
      <w:r>
        <w:rPr>
          <w:rFonts w:eastAsia="Calibri" w:c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cstheme="minorBidi" w:eastAsiaTheme="minorHAnsi"/>
          <w:b w:val="false"/>
          <w:i w:val="false"/>
          <w:caps w:val="false"/>
          <w:smallCaps w:val="false"/>
          <w:color w:val="212529"/>
          <w:spacing w:val="0"/>
          <w:sz w:val="19"/>
          <w:szCs w:val="22"/>
          <w:lang w:eastAsia="en-US"/>
        </w:rPr>
        <w:t xml:space="preserve">Turvaposti potilasasiavastaaville: </w:t>
      </w:r>
      <w:hyperlink r:id="rId8">
        <w:r>
          <w:rPr>
            <w:rStyle w:val="Internetlinkki"/>
            <w:rFonts w:eastAsia="Calibri" w:cs="" w:ascii="Inter-Regular" w:hAnsi="Inter-Regular" w:cstheme="minorBidi" w:eastAsiaTheme="minorHAnsi"/>
            <w:b w:val="false"/>
            <w:i w:val="false"/>
            <w:caps w:val="false"/>
            <w:smallCaps w:val="false"/>
            <w:strike w:val="false"/>
            <w:dstrike w:val="false"/>
            <w:color w:val="0A3DB2"/>
            <w:spacing w:val="0"/>
            <w:sz w:val="19"/>
            <w:szCs w:val="22"/>
            <w:highlight w:val="white"/>
            <w:u w:val="none"/>
            <w:effect w:val="none"/>
            <w:lang w:eastAsia="en-US"/>
          </w:rPr>
          <w:t>https://turvaposti.pshyvinvointialue.f</w:t>
        </w:r>
        <w:r>
          <w:rPr>
            <w:rStyle w:val="Internetlinkki"/>
            <w:rFonts w:eastAsia="Calibri" w:cs="" w:ascii="Inter-Regular" w:hAnsi="Inter-Regular" w:cstheme="minorBidi" w:eastAsiaTheme="minorHAnsi"/>
            <w:b w:val="false"/>
            <w:i w:val="false"/>
            <w:caps w:val="false"/>
            <w:smallCaps w:val="false"/>
            <w:strike w:val="false"/>
            <w:dstrike w:val="false"/>
            <w:color w:val="0A3DB2"/>
            <w:spacing w:val="0"/>
            <w:sz w:val="19"/>
            <w:szCs w:val="22"/>
            <w:highlight w:val="white"/>
            <w:u w:val="none"/>
            <w:effect w:val="none"/>
            <w:lang w:eastAsia="en-US"/>
          </w:rPr>
          <w:t>i</w:t>
        </w:r>
      </w:hyperlink>
    </w:p>
    <w:p>
      <w:pPr>
        <w:pStyle w:val="Normal"/>
        <w:rPr/>
      </w:pPr>
      <w:r>
        <w:rPr>
          <w:b/>
          <w:bCs/>
        </w:rPr>
        <w:t>Kuvaus menettelytavoista potilasasiamiehen tehtävien asianmukaisesta määrittelystä: neuvontatehtävä, avustustehtävä, tiedotus- ja koulutustehtävä, palvelujen laadun seuranta ja palautteen antaminen.</w:t>
        <w:br/>
      </w:r>
      <w:r>
        <w:rPr/>
        <w:t>Potilasasiamies on puolueeton taho. Potilasasiamiehen tehtävänä on neuvoa ja opastaa potilasta sekä tarvittaessa hänen terveydenhuollon ammattilaistaan.</w:t>
        <w:br/>
      </w:r>
      <w:r>
        <w:rPr>
          <w:rFonts w:ascii="Inter-Regular" w:hAnsi="Inter-Regular"/>
          <w:b w:val="false"/>
          <w:i w:val="false"/>
          <w:caps w:val="false"/>
          <w:smallCaps w:val="false"/>
          <w:color w:val="212529"/>
          <w:spacing w:val="0"/>
          <w:sz w:val="19"/>
        </w:rPr>
        <w:t>Saat ohjeita ja neuvoja terveydenhuollon asiakkaan oikeuksiin liittyvistä asioista potilasasiavastaavalta.</w:t>
      </w:r>
      <w:r>
        <w:rPr/>
        <w:t xml:space="preserve"> </w:t>
      </w:r>
      <w:r>
        <w:rPr/>
        <w:t>(</w:t>
      </w:r>
      <w:hyperlink r:id="rId9">
        <w:r>
          <w:rPr>
            <w:rStyle w:val="Internetlinkki"/>
          </w:rPr>
          <w:t>https://pshyvinvointialue.fi/potilasasiavastaava</w:t>
        </w:r>
      </w:hyperlink>
      <w:r>
        <w:rPr/>
        <w:t>)</w:t>
      </w:r>
    </w:p>
    <w:p>
      <w:pPr>
        <w:pStyle w:val="Normal"/>
        <w:rPr/>
      </w:pPr>
      <w:r>
        <w:rPr>
          <w:b/>
          <w:bCs/>
        </w:rPr>
        <w:t>7. LÄÄKEHOITO</w:t>
      </w:r>
    </w:p>
    <w:p>
      <w:pPr>
        <w:pStyle w:val="Normal"/>
        <w:rPr/>
      </w:pPr>
      <w:r>
        <w:rPr>
          <w:b/>
          <w:bCs/>
        </w:rPr>
        <w:t>Kuvaus lääkehoitosuunnitelman ylläpidosta, päivittämisestä ja toimeenpanosta sekä toteuttamisen seurannasta</w:t>
        <w:br/>
      </w:r>
      <w:r>
        <w:rPr/>
        <w:t>Yritys ei toteuta lääkehoitoa.</w:t>
      </w:r>
    </w:p>
    <w:p>
      <w:pPr>
        <w:pStyle w:val="Normal"/>
        <w:rPr/>
      </w:pPr>
      <w:r>
        <w:rPr>
          <w:b/>
          <w:bCs/>
        </w:rPr>
        <w:t xml:space="preserve">Lääkehoitosuunnitelma on laadittava sosiaali- ja terveysministeriön Turvallinen lääkehoito -oppaan (2021:6) mukaisesti. STM:n opas löytyy osoitteesta: </w:t>
      </w:r>
      <w:hyperlink r:id="rId10">
        <w:r>
          <w:rPr>
            <w:rStyle w:val="Internetlinkki"/>
            <w:b/>
            <w:bCs/>
          </w:rPr>
          <w:t>https://julkaisut.valtioneuvosto.fi/handle/10024/162847</w:t>
        </w:r>
      </w:hyperlink>
      <w:r>
        <w:rPr>
          <w:b/>
          <w:bCs/>
        </w:rPr>
        <w:t xml:space="preserve"> </w:t>
      </w:r>
    </w:p>
    <w:p>
      <w:pPr>
        <w:pStyle w:val="Normal"/>
        <w:rPr>
          <w:b/>
          <w:b/>
          <w:bCs/>
        </w:rPr>
      </w:pPr>
      <w:r>
        <w:rPr>
          <w:b/>
          <w:bCs/>
        </w:rPr>
        <w:t>Kuvaus toimintakäytännöistä lääkehoidon toteuttamisessa tapahtuneissa poikkeamatilanteissa</w:t>
        <w:br/>
      </w:r>
      <w:r>
        <w:rPr/>
        <w:t>---</w:t>
      </w:r>
    </w:p>
    <w:p>
      <w:pPr>
        <w:pStyle w:val="Normal"/>
        <w:rPr/>
      </w:pPr>
      <w:r>
        <w:rPr>
          <w:b/>
          <w:bCs/>
        </w:rPr>
        <w:t>Kuvaus lääkehoidon toteutumisesta, lääkkeiden kulutuksen seurannan valvonnasta</w:t>
        <w:br/>
      </w:r>
      <w:r>
        <w:rPr/>
        <w:t>---</w:t>
      </w:r>
    </w:p>
    <w:p>
      <w:pPr>
        <w:pStyle w:val="Normal"/>
        <w:rPr>
          <w:b/>
          <w:b/>
          <w:bCs/>
        </w:rPr>
      </w:pPr>
      <w:r>
        <w:rPr>
          <w:b/>
          <w:bCs/>
        </w:rPr>
        <w:t>8. RISKIEN JA EPÄKOHTIEN TUNNISTAMINEN JA KORJAAVAT TOIMENPITEET</w:t>
      </w:r>
    </w:p>
    <w:p>
      <w:pPr>
        <w:pStyle w:val="Normal"/>
        <w:rPr/>
      </w:pPr>
      <w:r>
        <w:rPr>
          <w:b/>
          <w:bCs/>
        </w:rPr>
        <w:t>Kuvaus menettelystä, jolla riskit, kriittiset työvaiheet ja vaaratilanteet tunnistetaan ennakoivasti</w:t>
        <w:br/>
      </w:r>
      <w:r>
        <w:rPr/>
        <w:t xml:space="preserve">Peruskoulutuksen ja lisäkoulutusten tuoma oppi ja työkokemus ovat asioita, joiden avulla pyritään tunnistamaan riskejä etukäteen. Kollegoiden kanssa keskustelu asiakastapauksista myös avaa omia ajatuksia riskien hallinnassa. </w:t>
      </w:r>
      <w:r>
        <w:rPr/>
        <w:t xml:space="preserve">Ammattilaisten somekanavat ja suljetut ryhmät ovat hyvä väylä asiakastapauksiin ja työssä eteentulevien tapausten pohdintaan. </w:t>
      </w:r>
    </w:p>
    <w:p>
      <w:pPr>
        <w:pStyle w:val="Normal"/>
        <w:rPr/>
      </w:pPr>
      <w:r>
        <w:rPr>
          <w:b/>
          <w:bCs/>
        </w:rPr>
        <w:t>Kuvaus menettelystä, jolla läheltä piti -tilanteet ja havaitut epäkohdat käsitellään</w:t>
        <w:br/>
      </w:r>
      <w:r>
        <w:rPr/>
        <w:t xml:space="preserve">Läheltä piti- tilanteita ja epäkohtia havaitessa asia kirjataan ja tapahtumaan johtaneet asiat mietitään tarkasti sekä tehdään tarvittavat toimenpiteet, ettei tilanne pääse enää uusiutumaan. </w:t>
      </w:r>
    </w:p>
    <w:p>
      <w:pPr>
        <w:pStyle w:val="Normal"/>
        <w:rPr/>
      </w:pPr>
      <w:r>
        <w:rPr>
          <w:b/>
          <w:bCs/>
        </w:rPr>
        <w:t>Kuvaus menettelystä, jolla todetut epäkohdat korjataan</w:t>
        <w:br/>
      </w:r>
      <w:r>
        <w:rPr/>
        <w:t xml:space="preserve">Ko. asian tai tapahtuman syntysyyhyn pyritään vaikuttamaan mahdollisuuksien mukaan. </w:t>
      </w:r>
    </w:p>
    <w:p>
      <w:pPr>
        <w:pStyle w:val="Normal"/>
        <w:rPr>
          <w:b/>
          <w:b/>
          <w:bCs/>
        </w:rPr>
      </w:pPr>
      <w:r>
        <w:rPr>
          <w:b/>
          <w:bCs/>
        </w:rPr>
        <w:t xml:space="preserve">Kuvaus siitä, miten korjaavista toimenpiteistä tiedotetaan henkilöstölle ja tarvittaessa yhteistyötahoille </w:t>
      </w:r>
    </w:p>
    <w:p>
      <w:pPr>
        <w:pStyle w:val="Normal"/>
        <w:rPr/>
      </w:pPr>
      <w:r>
        <w:rPr/>
        <w:t xml:space="preserve">Henkilöstöä yrittäjän lisäksi ei ole. </w:t>
      </w:r>
      <w:r>
        <w:rPr/>
        <w:t>Yhteistyökumppaneille</w:t>
      </w:r>
      <w:r>
        <w:rPr/>
        <w:t xml:space="preserve"> asia tiedotetaan joko sähköpostilla, puhelimitse </w:t>
      </w:r>
      <w:r>
        <w:rPr/>
        <w:t xml:space="preserve">tai jutellaan kasvotusten, </w:t>
      </w:r>
      <w:r>
        <w:rPr/>
        <w:t>riippuen asian laadusta. Sähköposti on hyvä lähettää joka tapauksessa, jotta asiasta jää kirjallinen dokumentti.</w:t>
      </w:r>
    </w:p>
    <w:p>
      <w:pPr>
        <w:pStyle w:val="Normal"/>
        <w:rPr/>
      </w:pPr>
      <w:r>
        <w:rPr>
          <w:b/>
          <w:bCs/>
        </w:rPr>
        <w:t xml:space="preserve">Lisätietoa tästä muun muassa STM:n julkaisuja 2011:15: Riskienhallinta ja turvallisuussuunnittelu. Opas sosiaali- ja terveydenhuollon johdolle ja turvallisuussuunnittelijoille: </w:t>
      </w:r>
      <w:hyperlink r:id="rId11">
        <w:r>
          <w:rPr>
            <w:rStyle w:val="Internetlinkki"/>
            <w:b/>
            <w:bCs/>
          </w:rPr>
          <w:t>https://stm.fi/julkaisu?pubid=URN:ISBN:978-952-00-3315-6</w:t>
        </w:r>
      </w:hyperlink>
    </w:p>
    <w:p>
      <w:pPr>
        <w:pStyle w:val="Normal"/>
        <w:rPr>
          <w:b/>
          <w:b/>
          <w:bCs/>
        </w:rPr>
      </w:pPr>
      <w:r>
        <w:rPr>
          <w:b/>
          <w:bCs/>
        </w:rPr>
      </w:r>
    </w:p>
    <w:p>
      <w:pPr>
        <w:pStyle w:val="Normal"/>
        <w:rPr>
          <w:b/>
          <w:b/>
          <w:bCs/>
        </w:rPr>
      </w:pPr>
      <w:r>
        <w:rPr>
          <w:b/>
          <w:bCs/>
        </w:rPr>
        <w:t>9. POTILASASIAKIRJAT JA HENKILÖTIETOJEN KÄSITTELY</w:t>
      </w:r>
    </w:p>
    <w:p>
      <w:pPr>
        <w:pStyle w:val="Normal"/>
        <w:rPr/>
      </w:pPr>
      <w:r>
        <w:rPr>
          <w:b/>
          <w:bCs/>
        </w:rPr>
        <w:t>Kuvaus potilastietojen kirjaamisesta, käsittelystä ja salassapitosäännösten noudattamisesta. Lisätietoa potilasasiakirjojen säilyttämisestä.</w:t>
        <w:br/>
      </w:r>
      <w:r>
        <w:rPr/>
        <w:t xml:space="preserve">Asiakkaista kerätään paperilomakkeelle henkilötiedoista nimi, henkilötunnus ja puhelinnumero sekä osoite. Sairaushistoriasta kysytään perussairaukset. Hoitokäynnistä kirjataan jalkojenterveyteen liittyvät asiat ja toimenpiteet, joita on tehty. </w:t>
        <w:br/>
        <w:t xml:space="preserve">Lomakkeet säilytetään yrityksen toimipaikassa lukollisessa kaapissa. </w:t>
      </w:r>
    </w:p>
    <w:p>
      <w:pPr>
        <w:pStyle w:val="Normal"/>
        <w:rPr/>
      </w:pPr>
      <w:r>
        <w:rPr>
          <w:b/>
          <w:bCs/>
        </w:rPr>
        <w:t>Kuvaus henkilöstön perehdyttämisestä ja osaamisen varmistamisesta potilasasiakirjahallintoon ja tietosuoja-asioihin.</w:t>
        <w:br/>
      </w:r>
      <w:r>
        <w:rPr/>
        <w:t>---</w:t>
      </w:r>
    </w:p>
    <w:p>
      <w:pPr>
        <w:pStyle w:val="Normal"/>
        <w:rPr/>
      </w:pPr>
      <w:r>
        <w:rPr>
          <w:b/>
          <w:bCs/>
        </w:rPr>
        <w:t>Tietosuojavastaavan nimi ja yhteystiedot</w:t>
        <w:br/>
      </w:r>
      <w:r>
        <w:rPr/>
        <w:t>Pauliina Lukkarinen</w:t>
        <w:br/>
        <w:t xml:space="preserve">050 </w:t>
      </w:r>
      <w:r>
        <w:rPr/>
        <w:t>517 9392</w:t>
      </w:r>
      <w:r>
        <w:rPr/>
        <w:br/>
        <w:t>info@eterneco.fi</w:t>
      </w:r>
    </w:p>
    <w:p>
      <w:pPr>
        <w:pStyle w:val="Normal"/>
        <w:rPr>
          <w:b/>
          <w:b/>
          <w:bCs/>
        </w:rPr>
      </w:pPr>
      <w:r>
        <w:rPr>
          <w:b/>
          <w:bCs/>
        </w:rPr>
        <w:t>Potilasrekisterinpitäjän on laadittava yleisen tietosuoja-asetuksen (EU,2016/679) 30 artiklan mukainen seloste käsittelytoimista.</w:t>
      </w:r>
    </w:p>
    <w:p>
      <w:pPr>
        <w:pStyle w:val="Normal"/>
        <w:rPr>
          <w:b/>
          <w:b/>
          <w:bCs/>
        </w:rPr>
      </w:pPr>
      <w:r>
        <w:rPr>
          <w:b/>
          <w:bCs/>
        </w:rPr>
        <w:t>Myös henkilötietojen käsittelijän on ylläpidettävä selostetta kaikista rekisterinpitäjän lukuun suoritettavista käsittelytoimista yleisen tietosuoja-asetuksen (30 art.) mukaisesti.</w:t>
      </w:r>
    </w:p>
    <w:p>
      <w:pPr>
        <w:pStyle w:val="Normal"/>
        <w:rPr/>
      </w:pPr>
      <w:r>
        <w:rPr>
          <w:b/>
          <w:bCs/>
        </w:rPr>
        <w:t xml:space="preserve">Tietosuojavaltuutetun selostepohja: </w:t>
      </w:r>
      <w:hyperlink r:id="rId12">
        <w:r>
          <w:rPr>
            <w:rStyle w:val="Internetlinkki"/>
            <w:b/>
            <w:bCs/>
          </w:rPr>
          <w:t>https://tietosuoja.fi/seloste-kasittelytoimista</w:t>
        </w:r>
      </w:hyperlink>
      <w:r>
        <w:rPr>
          <w:b/>
          <w:bCs/>
        </w:rPr>
        <w:t xml:space="preserve"> </w:t>
      </w:r>
    </w:p>
    <w:p>
      <w:pPr>
        <w:pStyle w:val="Normal"/>
        <w:rPr/>
      </w:pPr>
      <w:r>
        <w:rPr>
          <w:b/>
          <w:bCs/>
        </w:rPr>
        <w:t>Potilas- ja asiakasrekisterinpito -lomake (</w:t>
      </w:r>
      <w:hyperlink r:id="rId13">
        <w:r>
          <w:rPr>
            <w:rStyle w:val="Internetlinkki"/>
            <w:b/>
            <w:bCs/>
          </w:rPr>
          <w:t>www.valvira.fi</w:t>
        </w:r>
      </w:hyperlink>
      <w:r>
        <w:rPr>
          <w:b/>
          <w:bCs/>
        </w:rPr>
        <w:t xml:space="preserve"> ) Lomakkeen täyttöohje</w:t>
        <w:br/>
      </w:r>
      <w:r>
        <w:rPr>
          <w:b w:val="false"/>
          <w:bCs w:val="false"/>
        </w:rPr>
        <w:t>17.9.2026 lomaketta ei löydy LVV sivuilta</w:t>
      </w:r>
    </w:p>
    <w:p>
      <w:pPr>
        <w:pStyle w:val="Normal"/>
        <w:rPr/>
      </w:pPr>
      <w:r>
        <w:rPr>
          <w:b/>
          <w:bCs/>
        </w:rPr>
        <w:t xml:space="preserve">Muita tietosuojaan liittyviä oppaita sivulla: </w:t>
      </w:r>
      <w:hyperlink r:id="rId14">
        <w:r>
          <w:rPr>
            <w:rStyle w:val="Internetlinkki"/>
            <w:b/>
            <w:bCs/>
          </w:rPr>
          <w:t>https://tietosuoja.fi</w:t>
        </w:r>
      </w:hyperlink>
    </w:p>
    <w:p>
      <w:pPr>
        <w:pStyle w:val="Normal"/>
        <w:rPr>
          <w:b/>
          <w:b/>
          <w:bCs/>
        </w:rPr>
      </w:pPr>
      <w:r>
        <w:rPr>
          <w:b/>
          <w:bCs/>
        </w:rPr>
      </w:r>
    </w:p>
    <w:p>
      <w:pPr>
        <w:pStyle w:val="Normal"/>
        <w:rPr>
          <w:b/>
          <w:b/>
          <w:bCs/>
        </w:rPr>
      </w:pPr>
      <w:r>
        <w:rPr>
          <w:b/>
          <w:bCs/>
        </w:rPr>
        <w:t>10. POTILAAN OSALLISTUMISEN VAHVISTAMINEN JA MUISTUTUSTEN KÄSITTELY</w:t>
      </w:r>
    </w:p>
    <w:p>
      <w:pPr>
        <w:pStyle w:val="Normal"/>
        <w:rPr/>
      </w:pPr>
      <w:r>
        <w:rPr>
          <w:b/>
          <w:bCs/>
        </w:rPr>
        <w:t>Kuvaus menettelytavoista, joilla potilas ja hänen läheisensä voivat antaa palautetta laadunhallinnan ja potilasturvallisuuden puutteesta.</w:t>
        <w:br/>
      </w:r>
      <w:r>
        <w:rPr/>
        <w:t>Asiakkaan ja hänen läsnä olevan omaisen kanssa pyritään luomaan luottamuksellinen ilmapiiri jalkojenhoidon yhteydessä, jolloin mahdollisesta virheestä voidaan keskustella heti. Asiakasta kannustetaan antamaan palautetta sähköpostilla, viestillä tai paperilla, joita löytyy yrityksen odotusaulasta.</w:t>
      </w:r>
    </w:p>
    <w:p>
      <w:pPr>
        <w:pStyle w:val="Normal"/>
        <w:rPr/>
      </w:pPr>
      <w:r>
        <w:rPr>
          <w:b/>
          <w:bCs/>
        </w:rPr>
        <w:t>Kuvaus palautteiden käsittelystä toimipaikassa</w:t>
        <w:br/>
      </w:r>
      <w:r>
        <w:rPr/>
        <w:t xml:space="preserve">Palautteet luetaan vähintään kerran viikossa ja palautteisiin vastataan heti kun mahdollista. Asiakasta kiitetään palautteesta ja jos mahdollista, kerrotaan, onko palaute muuttanut toimintaa ja / tai saanut jatko- toimenpiteitä. </w:t>
      </w:r>
    </w:p>
    <w:p>
      <w:pPr>
        <w:pStyle w:val="Normal"/>
        <w:rPr/>
      </w:pPr>
      <w:r>
        <w:rPr>
          <w:b/>
          <w:bCs/>
        </w:rPr>
        <w:t>Kuvaus palautteen käytöstä toiminnan kehittämisessä</w:t>
        <w:br/>
      </w:r>
      <w:r>
        <w:rPr/>
        <w:t xml:space="preserve">Kehitysideoiden toteutettavuus harkitaan ja tehdään jatkotoimenpiteitä, jos ne koetaan asiakkaan, ja / tai yrityksen toiminnan kannalta järkeviksi ja suhteellisen helpoiksi toteuttaa. Positiivista palautetta voidaan käyttää markkinoinnissa asiakkaan luvalla. </w:t>
        <w:br/>
        <w:br/>
      </w:r>
      <w:r>
        <w:rPr>
          <w:b/>
          <w:bCs/>
        </w:rPr>
        <w:t>Asiakaspalautteet Booksalon ajanvarausjärjestelmän kautta</w:t>
      </w:r>
      <w:r>
        <w:rPr>
          <w:b/>
          <w:bCs/>
        </w:rPr>
        <w:t xml:space="preserve"> </w:t>
        <w:br/>
      </w:r>
      <w:r>
        <w:rPr>
          <w:b w:val="false"/>
          <w:bCs w:val="false"/>
        </w:rPr>
        <w:t xml:space="preserve">Booksalon ajanvarausjärjestelmä on otettu käyttöön kesäkuussa 2026. Asiakkaiden on mahdollisuus antaa palautetta järjestelmän kautta. </w:t>
      </w:r>
    </w:p>
    <w:p>
      <w:pPr>
        <w:pStyle w:val="Normal"/>
        <w:rPr>
          <w:b/>
          <w:b/>
          <w:bCs/>
        </w:rPr>
      </w:pPr>
      <w:r>
        <w:rPr>
          <w:b/>
          <w:bCs/>
        </w:rPr>
        <w:t>Potilaan asemasta ja oikeuksista annetun lain (Potilaslaki 785/1992) 10 §:n mukaisesti terveyden- ja sairaanhoitoon ja siihen liittyvään kohteluun tyytymättömällä potilaalla on oikeus tehdä muistutus. Muistutusmenettely on ensisijainen keino selvittää hoitoonsa ja kohteluunsa tyytymättömän potilaan asiaa. Muistutukseen on annettava kirjallinen vastaus kohtuullisessa ajassa sen tekemisestä. Kohtuullisena aikana voidaan yleensä pitää 1-4 viikon vastausaikaa, jollei ole erityisiä perusteita pidempään käsittelyaikaan.</w:t>
      </w:r>
    </w:p>
    <w:p>
      <w:pPr>
        <w:pStyle w:val="Normal"/>
        <w:rPr>
          <w:b/>
          <w:b/>
          <w:bCs/>
        </w:rPr>
      </w:pPr>
      <w:r>
        <w:rPr>
          <w:b/>
          <w:bCs/>
        </w:rPr>
        <w:t>Terveydenhuollon palveluista vastaava johtaja vastaa siitä, että muistutukset käsitellään huolellisesti ja asianmukaisesti.</w:t>
      </w:r>
    </w:p>
    <w:p>
      <w:pPr>
        <w:pStyle w:val="Normal"/>
        <w:rPr/>
      </w:pPr>
      <w:r>
        <w:rPr>
          <w:b/>
          <w:bCs/>
        </w:rPr>
        <w:t xml:space="preserve">Muistutuksessa kuvattu asia on tutkittava puolueettomasti ja riittävän yksityiskohtaisesti, jotta potilas voi pitää asian selvittämistä luotettavana ja kokee tulleensa kuulluksi. Muistutuksessa annettavassa ratkaisussa on käytävä ilmi, mihin toimenpiteisiin muistutuksen johdosta on ryhdytty ja miten asia on muuten ratkaistu. Muistutuksen johdosta annettuun ratkaisuun ei voi hakea muutosta, mutta asia voidaan ottaa uudelleen käsittelyyn, mikäli asiassa ilmenee jotakin uutta. Muistutuksen käsittelyssä syntyneet asiakirjat säilytetään omana arkistonaan erillään potilasasiakirja-arkistosta. Mikäli muistutuksen käsittelyssä syntyneet asiakirjat sisältävät potilaan hoidon kannalta oleellista tietoa, ne voidaan liittää siltä osin potilasasiakirjoihin. Lisätietoa  </w:t>
      </w:r>
      <w:hyperlink r:id="rId15">
        <w:r>
          <w:rPr>
            <w:rStyle w:val="Internetlinkki"/>
            <w:b/>
            <w:bCs/>
          </w:rPr>
          <w:t>https://lvv.fi/sosiaali-ja-terveydenhuolto/viranomaisvalvonta</w:t>
        </w:r>
      </w:hyperlink>
    </w:p>
    <w:p>
      <w:pPr>
        <w:pStyle w:val="Normal"/>
        <w:rPr/>
      </w:pPr>
      <w:r>
        <w:rPr>
          <w:b/>
          <w:bCs/>
        </w:rPr>
        <w:t>Kuvaus menettelytavoista muistutuksiin vastaamisesta</w:t>
        <w:br/>
      </w:r>
      <w:r>
        <w:rPr/>
        <w:t xml:space="preserve">Tapaukset otetaan käsittelyyn heti niiden saavuttua. Asiakkaaseen ollaan yhteydessä ja asia käsittelyssä pyritään pääsemään yhteisymmärrykseen. Jos asiakas ei tunne saavansa oikeudenmukaista kohtelua asian käsittelyssä, häntä kehotetaan ottamaan yhteyttä </w:t>
      </w:r>
      <w:r>
        <w:rPr>
          <w:color w:val="000000"/>
        </w:rPr>
        <w:t>potilasasia</w:t>
      </w:r>
      <w:r>
        <w:rPr>
          <w:color w:val="000000"/>
        </w:rPr>
        <w:t>vastaavaan</w:t>
      </w:r>
      <w:r>
        <w:rPr>
          <w:color w:val="000000"/>
        </w:rPr>
        <w:t>.</w:t>
      </w:r>
      <w:r>
        <w:rPr/>
        <w:t xml:space="preserve"> Harkinnan mukaan asiakkaalle korvataan aiheutunutta haittaa kohtuullisen korvauksen puitteissa. </w:t>
      </w:r>
    </w:p>
    <w:p>
      <w:pPr>
        <w:pStyle w:val="Normal"/>
        <w:rPr>
          <w:b/>
          <w:b/>
          <w:bCs/>
        </w:rPr>
      </w:pPr>
      <w:r>
        <w:rPr>
          <w:b/>
          <w:bCs/>
        </w:rPr>
      </w:r>
    </w:p>
    <w:p>
      <w:pPr>
        <w:pStyle w:val="Normal"/>
        <w:rPr>
          <w:b/>
          <w:b/>
          <w:bCs/>
        </w:rPr>
      </w:pPr>
      <w:r>
        <w:rPr>
          <w:b/>
          <w:bCs/>
        </w:rPr>
        <w:t>11. OMAVALVONNAN TOTEUTTAMISEN SEURANTA JA ARVIOINTI</w:t>
      </w:r>
    </w:p>
    <w:p>
      <w:pPr>
        <w:pStyle w:val="Normal"/>
        <w:rPr/>
      </w:pPr>
      <w:r>
        <w:rPr>
          <w:b/>
          <w:bCs/>
        </w:rPr>
        <w:t>Kuvaus omavalvonnan toteutumisen seurannasta</w:t>
        <w:br/>
      </w:r>
      <w:r>
        <w:rPr/>
        <w:t>Omavalvonta kattaa palveluyksikön toiminnan lisäksi myös ne palvelupisteet, joissa palveluntuottaja tarjoaa jalkojenhoito palveluita, jotka toimivat toisen palveluntuottajan tiloissa.</w:t>
        <w:br/>
        <w:t xml:space="preserve">Omavalvontaa seurataan päivittäisessä työssä ja kuulemalla herkällä korvalla asiakkaita. Omavalvontasuunnitelma tarkastetaan 3 kertaa vuodessa ja tarvittaviin toimenpiteisiin puututaan heti epäkohtien ilmaantuessa. </w:t>
      </w:r>
    </w:p>
    <w:p>
      <w:pPr>
        <w:pStyle w:val="Normal"/>
        <w:rPr/>
      </w:pPr>
      <w:r>
        <w:rPr>
          <w:b/>
          <w:bCs/>
        </w:rPr>
        <w:t>Kuvaus omavalvontasuunnitelman päivittämisprosessista</w:t>
        <w:br/>
      </w:r>
      <w:r>
        <w:rPr/>
        <w:t xml:space="preserve">Suunnitelma tarkistetaan 3 kertaa vuodessa. Tarvittaessa omavalvontasuunnitelmaan ja käytäntöihin tehdään muutoksia silloin kun asioita tulee ilmi.  </w:t>
      </w:r>
    </w:p>
    <w:p>
      <w:pPr>
        <w:pStyle w:val="Normal"/>
        <w:rPr>
          <w:b/>
          <w:b/>
          <w:bCs/>
        </w:rPr>
      </w:pPr>
      <w:r>
        <w:rPr>
          <w:b/>
          <w:bCs/>
        </w:rPr>
        <w:t>Toimintaohjeisiin tulleet muutokset kirjataan viiveettä omavalvontasuunnitelmaan ja niistä tiedotetaan henkilökunnalle.</w:t>
      </w:r>
    </w:p>
    <w:p>
      <w:pPr>
        <w:pStyle w:val="Normal"/>
        <w:rPr>
          <w:b/>
          <w:b/>
          <w:bCs/>
        </w:rPr>
      </w:pPr>
      <w:r>
        <w:rPr>
          <w:b/>
          <w:bCs/>
        </w:rPr>
        <w:t>Omavalvontasuunnitelma vahvistetaan vuosittain, vaikka muutoksia ei vuoden aikana olisi tehtykään.</w:t>
      </w:r>
    </w:p>
    <w:p>
      <w:pPr>
        <w:pStyle w:val="Normal"/>
        <w:rPr>
          <w:b/>
          <w:b/>
          <w:bCs/>
        </w:rPr>
      </w:pPr>
      <w:r>
        <w:rPr>
          <w:b/>
          <w:bCs/>
        </w:rPr>
      </w:r>
    </w:p>
    <w:p>
      <w:pPr>
        <w:pStyle w:val="Normal"/>
        <w:rPr/>
      </w:pPr>
      <w:r>
        <w:rPr>
          <w:b/>
          <w:bCs/>
        </w:rPr>
        <w:t xml:space="preserve">Asiakaspalautteet: </w:t>
        <w:br/>
        <w:t>11.4.2025</w:t>
        <w:br/>
      </w:r>
      <w:r>
        <w:rPr/>
        <w:t xml:space="preserve">Asiakkaat ovat olleet tyytyväisiä palveluun. </w:t>
        <w:br/>
        <w:t>Kirjallista palautetta, tai reklamaatioita ei ole tullut.</w:t>
      </w:r>
      <w:r>
        <w:rPr>
          <w:b/>
          <w:bCs/>
        </w:rPr>
        <w:br/>
        <w:t>1.9.2024</w:t>
        <w:br/>
      </w:r>
      <w:r>
        <w:rPr/>
        <w:t xml:space="preserve">Asiakkailta on tullut positiivista suullista palautetta. </w:t>
        <w:br/>
        <w:t xml:space="preserve">Kirjallisia palautteita tai reklamaatioita ei ole tullut. </w:t>
      </w:r>
    </w:p>
    <w:p>
      <w:pPr>
        <w:pStyle w:val="Normal"/>
        <w:rPr>
          <w:b/>
          <w:b/>
          <w:bCs/>
        </w:rPr>
      </w:pPr>
      <w:r>
        <w:rPr>
          <w:b/>
          <w:bCs/>
        </w:rPr>
        <w:t>17.9.2026</w:t>
        <w:br/>
      </w:r>
      <w:r>
        <w:rPr>
          <w:b w:val="false"/>
          <w:bCs w:val="false"/>
        </w:rPr>
        <w:t>Suullinen palaute hoidosta lähtiessä ollut positiivista.</w:t>
        <w:br/>
        <w:t>Booksalon ajanvarausjärjestelmän kautta tullut palaute on 5/5</w:t>
      </w:r>
    </w:p>
    <w:p>
      <w:pPr>
        <w:pStyle w:val="Normal"/>
        <w:rPr/>
      </w:pPr>
      <w:r>
        <w:rPr>
          <w:b/>
          <w:bCs/>
        </w:rPr>
        <w:t>Paikka ja päiväys</w:t>
      </w:r>
    </w:p>
    <w:p>
      <w:pPr>
        <w:pStyle w:val="Normal"/>
        <w:rPr/>
      </w:pPr>
      <w:r>
        <w:rPr/>
        <w:t>Suonenjoella 8.3.2024</w:t>
        <w:br/>
        <w:t>päivitetty 11.4.2025</w:t>
      </w:r>
      <w:r>
        <w:rPr>
          <w:b/>
          <w:bCs/>
        </w:rPr>
        <w:br/>
      </w:r>
      <w:r>
        <w:rPr>
          <w:b w:val="false"/>
          <w:bCs w:val="false"/>
        </w:rPr>
        <w:t>päivitetty 17.9.2026</w:t>
      </w:r>
    </w:p>
    <w:p>
      <w:pPr>
        <w:pStyle w:val="Normal"/>
        <w:rPr>
          <w:rFonts w:ascii="Lucida Calligraphy" w:hAnsi="Lucida Calligraphy"/>
        </w:rPr>
      </w:pPr>
      <w:r>
        <w:rPr>
          <w:b/>
          <w:bCs/>
        </w:rPr>
        <w:t>Omavalvontasuunnitelman hyväksyy ja vahvistaa terveydenhuollon palveluista vastaava johtaja.</w:t>
        <w:br/>
      </w:r>
      <w:r>
        <w:rPr>
          <w:rFonts w:ascii="Lucida Calligraphy" w:hAnsi="Lucida Calligraphy"/>
        </w:rPr>
        <w:t>Pauliina Lukkarinen</w:t>
      </w:r>
    </w:p>
    <w:p>
      <w:pPr>
        <w:pStyle w:val="Normal"/>
        <w:rPr/>
      </w:pPr>
      <w:r>
        <w:rPr>
          <w:b/>
          <w:bCs/>
        </w:rPr>
        <w:t>Nimen selvennys</w:t>
        <w:br/>
      </w:r>
      <w:r>
        <w:rPr/>
        <w:t>Pauliina Lukkarinen</w:t>
      </w:r>
    </w:p>
    <w:p>
      <w:pPr>
        <w:pStyle w:val="Normal"/>
        <w:rPr/>
      </w:pPr>
      <w:r>
        <w:rPr/>
      </w:r>
    </w:p>
    <w:p>
      <w:pPr>
        <w:pStyle w:val="Normal"/>
        <w:widowControl/>
        <w:bidi w:val="0"/>
        <w:spacing w:lineRule="auto" w:line="259" w:before="0" w:after="160"/>
        <w:jc w:val="left"/>
        <w:rPr/>
      </w:pPr>
      <w:r>
        <w:rPr>
          <w:b/>
          <w:bCs/>
        </w:rPr>
        <w:t>Omavalvontasuunnitelman liitteet:</w:t>
        <w:br/>
      </w:r>
      <w:r>
        <w:rPr/>
        <w:t>---</w:t>
      </w:r>
    </w:p>
    <w:sectPr>
      <w:headerReference w:type="default" r:id="rId16"/>
      <w:type w:val="nextPage"/>
      <w:pgSz w:w="11906" w:h="16838"/>
      <w:pgMar w:left="1134" w:right="1134" w:header="708" w:top="1417" w:footer="0" w:bottom="1417" w:gutter="0"/>
      <w:pgNumType w:start="0"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Inter-Regular">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Calibri">
    <w:charset w:val="01"/>
    <w:family w:val="swiss"/>
    <w:pitch w:val="variable"/>
  </w:font>
  <w:font w:name="apple-system">
    <w:altName w:val="BlinkMacSystemFont"/>
    <w:charset w:val="00"/>
    <w:family w:val="auto"/>
    <w:pitch w:val="default"/>
  </w:font>
  <w:font w:name="Inter-Regular">
    <w:charset w:val="00"/>
    <w:family w:val="auto"/>
    <w:pitch w:val="default"/>
  </w:font>
  <w:font w:name="Lucida Calligraphy">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Yltunniste"/>
      <w:rPr/>
    </w:pPr>
    <w:r>
      <w:rPr/>
      <w:t>Eterneco Ky</w:t>
      <w:tab/>
      <w:t xml:space="preserve">                                                                                                                                                       8.2.2024</w:t>
    </w:r>
  </w:p>
  <w:p>
    <w:pPr>
      <w:pStyle w:val="Yltunniste"/>
      <w:rPr/>
    </w:pPr>
    <w:r>
      <w:rPr/>
      <w:t>Suonenjoki</w:t>
      <w:tab/>
      <w:t xml:space="preserve">                                                                                                                                       Päivitetty 11.4.2025</w:t>
      <w:br/>
      <w:t xml:space="preserve">050 </w:t>
    </w:r>
    <w:r>
      <w:rPr/>
      <w:t>517 9392</w:t>
    </w:r>
    <w:r>
      <w:rPr/>
      <w:t xml:space="preserve">                                                                                                                                  </w:t>
    </w:r>
    <w:r>
      <w:rPr/>
      <w:t>Päivitetty 17.9.2026</w:t>
    </w:r>
    <w:r>
      <w:rPr/>
      <w:br/>
      <w:t>www.eterneco.fi</w:t>
    </w:r>
  </w:p>
  <w:p>
    <w:pPr>
      <w:pStyle w:val="Yltunniste"/>
      <w:rPr/>
    </w:pPr>
    <w:r>
      <w:rPr/>
    </w:r>
  </w:p>
</w:hdr>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i-FI"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i-FI" w:eastAsia="en-US" w:bidi="ar-SA"/>
    </w:rPr>
  </w:style>
  <w:style w:type="paragraph" w:styleId="Otsikko2">
    <w:name w:val="Heading 2"/>
    <w:basedOn w:val="Normal"/>
    <w:next w:val="Normal"/>
    <w:link w:val="Otsikko2Char"/>
    <w:uiPriority w:val="9"/>
    <w:semiHidden/>
    <w:unhideWhenUsed/>
    <w:qFormat/>
    <w:rsid w:val="003f5ef6"/>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Internetlinkki">
    <w:name w:val="Internet-linkki"/>
    <w:basedOn w:val="DefaultParagraphFont"/>
    <w:uiPriority w:val="99"/>
    <w:unhideWhenUsed/>
    <w:rsid w:val="00d461ed"/>
    <w:rPr>
      <w:color w:val="0563C1" w:themeColor="hyperlink"/>
      <w:u w:val="single"/>
    </w:rPr>
  </w:style>
  <w:style w:type="character" w:styleId="UnresolvedMention">
    <w:name w:val="Unresolved Mention"/>
    <w:basedOn w:val="DefaultParagraphFont"/>
    <w:uiPriority w:val="99"/>
    <w:semiHidden/>
    <w:unhideWhenUsed/>
    <w:qFormat/>
    <w:rsid w:val="00d461ed"/>
    <w:rPr>
      <w:color w:val="605E5C"/>
      <w:shd w:fill="E1DFDD" w:val="clear"/>
    </w:rPr>
  </w:style>
  <w:style w:type="character" w:styleId="Strong">
    <w:name w:val="Strong"/>
    <w:basedOn w:val="DefaultParagraphFont"/>
    <w:uiPriority w:val="22"/>
    <w:qFormat/>
    <w:rsid w:val="002b004e"/>
    <w:rPr>
      <w:b/>
      <w:bCs/>
    </w:rPr>
  </w:style>
  <w:style w:type="character" w:styleId="Otsikko2Char" w:customStyle="1">
    <w:name w:val="Otsikko 2 Char"/>
    <w:basedOn w:val="DefaultParagraphFont"/>
    <w:link w:val="Otsikko2"/>
    <w:uiPriority w:val="9"/>
    <w:semiHidden/>
    <w:qFormat/>
    <w:rsid w:val="003f5ef6"/>
    <w:rPr>
      <w:rFonts w:ascii="Calibri Light" w:hAnsi="Calibri Light" w:eastAsia="" w:cs="" w:asciiTheme="majorHAnsi" w:cstheme="majorBidi" w:eastAsiaTheme="majorEastAsia" w:hAnsiTheme="majorHAnsi"/>
      <w:color w:val="2F5496" w:themeColor="accent1" w:themeShade="bf"/>
      <w:sz w:val="26"/>
      <w:szCs w:val="26"/>
    </w:rPr>
  </w:style>
  <w:style w:type="character" w:styleId="YltunnisteChar" w:customStyle="1">
    <w:name w:val="Ylätunniste Char"/>
    <w:basedOn w:val="DefaultParagraphFont"/>
    <w:link w:val="Yltunniste"/>
    <w:uiPriority w:val="99"/>
    <w:qFormat/>
    <w:rsid w:val="00fb2806"/>
    <w:rPr/>
  </w:style>
  <w:style w:type="character" w:styleId="AlatunnisteChar" w:customStyle="1">
    <w:name w:val="Alatunniste Char"/>
    <w:basedOn w:val="DefaultParagraphFont"/>
    <w:link w:val="Alatunniste"/>
    <w:uiPriority w:val="99"/>
    <w:qFormat/>
    <w:rsid w:val="00fb2806"/>
    <w:rPr/>
  </w:style>
  <w:style w:type="character" w:styleId="EivliChar" w:customStyle="1">
    <w:name w:val="Ei väliä Char"/>
    <w:basedOn w:val="DefaultParagraphFont"/>
    <w:link w:val="Eivli"/>
    <w:uiPriority w:val="1"/>
    <w:qFormat/>
    <w:rsid w:val="00843f98"/>
    <w:rPr>
      <w:rFonts w:eastAsia="" w:eastAsiaTheme="minorEastAsia"/>
      <w:lang w:eastAsia="fi-FI"/>
    </w:rPr>
  </w:style>
  <w:style w:type="character" w:styleId="ListLabel1">
    <w:name w:val="ListLabel 1"/>
    <w:qFormat/>
    <w:rPr/>
  </w:style>
  <w:style w:type="character" w:styleId="ListLabel2">
    <w:name w:val="ListLabel 2"/>
    <w:qFormat/>
    <w:rPr>
      <w:b/>
      <w:bCs/>
    </w:rPr>
  </w:style>
  <w:style w:type="character" w:styleId="ListLabel3">
    <w:name w:val="ListLabel 3"/>
    <w:qFormat/>
    <w:rPr>
      <w:rFonts w:cs="Calibri" w:cstheme="minorHAnsi"/>
    </w:rPr>
  </w:style>
  <w:style w:type="character" w:styleId="ListLabel4">
    <w:name w:val="ListLabel 4"/>
    <w:qFormat/>
    <w:rPr>
      <w:rFonts w:ascii="Inter-Regular" w:hAnsi="Inter-Regular" w:eastAsia="Calibri" w:cs="" w:cstheme="minorBidi" w:eastAsiaTheme="minorHAnsi"/>
      <w:b/>
      <w:bCs/>
      <w:color w:val="6F6F6F"/>
      <w:sz w:val="22"/>
      <w:szCs w:val="22"/>
      <w:u w:val="single"/>
      <w:shd w:fill="FFFFFF" w:val="clear"/>
      <w:lang w:eastAsia="en-US"/>
    </w:rPr>
  </w:style>
  <w:style w:type="character" w:styleId="Luettelomerkit">
    <w:name w:val="Luettelomerkit"/>
    <w:qFormat/>
    <w:rPr>
      <w:rFonts w:ascii="OpenSymbol" w:hAnsi="OpenSymbol" w:eastAsia="OpenSymbol" w:cs="OpenSymbol"/>
    </w:rPr>
  </w:style>
  <w:style w:type="paragraph" w:styleId="Otsikko">
    <w:name w:val="Otsikko"/>
    <w:basedOn w:val="Normal"/>
    <w:next w:val="Leipteksti"/>
    <w:qFormat/>
    <w:pPr>
      <w:keepNext w:val="true"/>
      <w:spacing w:before="240" w:after="120"/>
    </w:pPr>
    <w:rPr>
      <w:rFonts w:ascii="Liberation Sans" w:hAnsi="Liberation Sans" w:eastAsia="Microsoft YaHei" w:cs="Lucida Sans"/>
      <w:sz w:val="28"/>
      <w:szCs w:val="28"/>
    </w:rPr>
  </w:style>
  <w:style w:type="paragraph" w:styleId="Leipteksti">
    <w:name w:val="Body Text"/>
    <w:basedOn w:val="Normal"/>
    <w:pPr>
      <w:spacing w:lineRule="auto" w:line="276" w:before="0" w:after="140"/>
    </w:pPr>
    <w:rPr/>
  </w:style>
  <w:style w:type="paragraph" w:styleId="Luettelo">
    <w:name w:val="List"/>
    <w:basedOn w:val="Leipteksti"/>
    <w:pPr/>
    <w:rPr>
      <w:rFonts w:cs="Lucida Sans"/>
    </w:rPr>
  </w:style>
  <w:style w:type="paragraph" w:styleId="Kuvaotsikko">
    <w:name w:val="Caption"/>
    <w:basedOn w:val="Normal"/>
    <w:qFormat/>
    <w:pPr>
      <w:suppressLineNumbers/>
      <w:spacing w:before="120" w:after="120"/>
    </w:pPr>
    <w:rPr>
      <w:rFonts w:cs="Lucida Sans"/>
      <w:i/>
      <w:iCs/>
      <w:sz w:val="24"/>
      <w:szCs w:val="24"/>
    </w:rPr>
  </w:style>
  <w:style w:type="paragraph" w:styleId="Hakemisto">
    <w:name w:val="Hakemisto"/>
    <w:basedOn w:val="Normal"/>
    <w:qFormat/>
    <w:pPr>
      <w:suppressLineNumbers/>
    </w:pPr>
    <w:rPr>
      <w:rFonts w:cs="Lucida Sans"/>
    </w:rPr>
  </w:style>
  <w:style w:type="paragraph" w:styleId="NormalWeb">
    <w:name w:val="Normal (Web)"/>
    <w:basedOn w:val="Normal"/>
    <w:uiPriority w:val="99"/>
    <w:unhideWhenUsed/>
    <w:qFormat/>
    <w:rsid w:val="002b004e"/>
    <w:pPr>
      <w:spacing w:lineRule="auto" w:line="240" w:beforeAutospacing="1" w:afterAutospacing="1"/>
    </w:pPr>
    <w:rPr>
      <w:rFonts w:ascii="Times New Roman" w:hAnsi="Times New Roman" w:eastAsia="Times New Roman" w:cs="Times New Roman"/>
      <w:sz w:val="24"/>
      <w:szCs w:val="24"/>
      <w:lang w:eastAsia="fi-FI"/>
    </w:rPr>
  </w:style>
  <w:style w:type="paragraph" w:styleId="Yltunniste">
    <w:name w:val="Header"/>
    <w:basedOn w:val="Normal"/>
    <w:link w:val="YltunnisteChar"/>
    <w:uiPriority w:val="99"/>
    <w:unhideWhenUsed/>
    <w:rsid w:val="00fb2806"/>
    <w:pPr>
      <w:tabs>
        <w:tab w:val="clear" w:pos="720"/>
        <w:tab w:val="center" w:pos="4819" w:leader="none"/>
        <w:tab w:val="right" w:pos="9638" w:leader="none"/>
      </w:tabs>
      <w:spacing w:lineRule="auto" w:line="240" w:before="0" w:after="0"/>
    </w:pPr>
    <w:rPr/>
  </w:style>
  <w:style w:type="paragraph" w:styleId="Alatunniste">
    <w:name w:val="Footer"/>
    <w:basedOn w:val="Normal"/>
    <w:link w:val="AlatunnisteChar"/>
    <w:uiPriority w:val="99"/>
    <w:unhideWhenUsed/>
    <w:rsid w:val="00fb2806"/>
    <w:pPr>
      <w:tabs>
        <w:tab w:val="clear" w:pos="720"/>
        <w:tab w:val="center" w:pos="4819" w:leader="none"/>
        <w:tab w:val="right" w:pos="9638" w:leader="none"/>
      </w:tabs>
      <w:spacing w:lineRule="auto" w:line="240" w:before="0" w:after="0"/>
    </w:pPr>
    <w:rPr/>
  </w:style>
  <w:style w:type="paragraph" w:styleId="NoSpacing">
    <w:name w:val="No Spacing"/>
    <w:link w:val="EivliChar"/>
    <w:uiPriority w:val="1"/>
    <w:qFormat/>
    <w:rsid w:val="00843f98"/>
    <w:pPr>
      <w:widowControl/>
      <w:bidi w:val="0"/>
      <w:spacing w:lineRule="auto" w:line="240" w:before="0" w:after="0"/>
      <w:jc w:val="left"/>
    </w:pPr>
    <w:rPr>
      <w:rFonts w:eastAsia="" w:eastAsiaTheme="minorEastAsia" w:ascii="Calibri" w:hAnsi="Calibri" w:cs=""/>
      <w:color w:val="auto"/>
      <w:kern w:val="0"/>
      <w:sz w:val="22"/>
      <w:szCs w:val="22"/>
      <w:lang w:eastAsia="fi-FI" w:val="fi-FI" w:bidi="ar-SA"/>
    </w:rPr>
  </w:style>
  <w:style w:type="paragraph" w:styleId="Kehyksensislt">
    <w:name w:val="Kehyksen sisältö"/>
    <w:basedOn w:val="Normal"/>
    <w:qFormat/>
    <w:pPr/>
    <w:rPr/>
  </w:style>
  <w:style w:type="numbering" w:styleId="NoList" w:default="1">
    <w:name w:val="No List"/>
    <w:uiPriority w:val="99"/>
    <w:semiHidden/>
    <w:unhideWhenUsed/>
    <w:qFormat/>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table" w:styleId="TaulukkoRuudukko">
    <w:name w:val="Table Grid"/>
    <w:basedOn w:val="Normaalitaulukko"/>
    <w:uiPriority w:val="39"/>
    <w:rsid w:val="005572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info@eterneco.fi" TargetMode="External"/><Relationship Id="rId4" Type="http://schemas.openxmlformats.org/officeDocument/2006/relationships/hyperlink" Target="https://julkiterhikki.valvira.fi/" TargetMode="External"/><Relationship Id="rId5" Type="http://schemas.openxmlformats.org/officeDocument/2006/relationships/hyperlink" Target="https://www.fimea.fi/laakinnalliset_laitteet/vaatimukset-ammattimaisille-kayttajille/vaaratilanteista-ilmoittaminen" TargetMode="External"/><Relationship Id="rId6" Type="http://schemas.openxmlformats.org/officeDocument/2006/relationships/hyperlink" Target="tel:0444610850" TargetMode="External"/><Relationship Id="rId7" Type="http://schemas.openxmlformats.org/officeDocument/2006/relationships/hyperlink" Target="mailto:potilasasiavastaava@pshyvinvointialue.fi" TargetMode="External"/><Relationship Id="rId8" Type="http://schemas.openxmlformats.org/officeDocument/2006/relationships/hyperlink" Target="https://turvaposti.pshyvinvointialue.fi/" TargetMode="External"/><Relationship Id="rId9" Type="http://schemas.openxmlformats.org/officeDocument/2006/relationships/hyperlink" Target="https://pshyvinvointialue.fi/potilasasiavastaava" TargetMode="External"/><Relationship Id="rId10" Type="http://schemas.openxmlformats.org/officeDocument/2006/relationships/hyperlink" Target="https://julkaisut.valtioneuvosto.fi/handle/10024/162847" TargetMode="External"/><Relationship Id="rId11" Type="http://schemas.openxmlformats.org/officeDocument/2006/relationships/hyperlink" Target="https://stm.fi/julkaisu?pubid=URN:ISBN:978-952-00-3315-6" TargetMode="External"/><Relationship Id="rId12" Type="http://schemas.openxmlformats.org/officeDocument/2006/relationships/hyperlink" Target="https://tietosuoja.fi/seloste-kasittelytoimista" TargetMode="External"/><Relationship Id="rId13" Type="http://schemas.openxmlformats.org/officeDocument/2006/relationships/hyperlink" Target="http://www.valvira.fi/" TargetMode="External"/><Relationship Id="rId14" Type="http://schemas.openxmlformats.org/officeDocument/2006/relationships/hyperlink" Target="https://tietosuoja.fi/" TargetMode="External"/><Relationship Id="rId15" Type="http://schemas.openxmlformats.org/officeDocument/2006/relationships/hyperlink" Target="https://lvv.fi/sosiaali-ja-terveydenhuolto/viranomaisvalvonta"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glossaryDocument" Target="glossary/document.xml"/><Relationship Id="rId21"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8826D1257B45D78E2BD1270B46A755"/>
        <w:category>
          <w:name w:val="Yleiset"/>
          <w:gallery w:val="placeholder"/>
        </w:category>
        <w:types>
          <w:type w:val="bbPlcHdr"/>
        </w:types>
        <w:behaviors>
          <w:behavior w:val="content"/>
        </w:behaviors>
        <w:guid w:val="{B61D3909-010C-443B-9BBC-909877559CA6}"/>
      </w:docPartPr>
      <w:docPartBody>
        <w:p w:rsidR="00F05889" w:rsidRDefault="00233809" w:rsidP="00233809">
          <w:pPr>
            <w:pStyle w:val="2E8826D1257B45D78E2BD1270B46A755"/>
          </w:pPr>
          <w:r>
            <w:rPr>
              <w:color w:val="0F4761" w:themeColor="accent1" w:themeShade="BF"/>
            </w:rPr>
            <w:t>[Yrityksen nimi]</w:t>
          </w:r>
        </w:p>
      </w:docPartBody>
    </w:docPart>
    <w:docPart>
      <w:docPartPr>
        <w:name w:val="CB84DC2B4FCA482CAB0BF5F5FF947319"/>
        <w:category>
          <w:name w:val="Yleiset"/>
          <w:gallery w:val="placeholder"/>
        </w:category>
        <w:types>
          <w:type w:val="bbPlcHdr"/>
        </w:types>
        <w:behaviors>
          <w:behavior w:val="content"/>
        </w:behaviors>
        <w:guid w:val="{F53FB74F-2688-47ED-A12C-41EC96075C18}"/>
      </w:docPartPr>
      <w:docPartBody>
        <w:p w:rsidR="00F05889" w:rsidRDefault="00233809" w:rsidP="00233809">
          <w:pPr>
            <w:pStyle w:val="CB84DC2B4FCA482CAB0BF5F5FF947319"/>
          </w:pPr>
          <w:r>
            <w:rPr>
              <w:rFonts w:asciiTheme="majorHAnsi" w:eastAsiaTheme="majorEastAsia" w:hAnsiTheme="majorHAnsi" w:cstheme="majorBidi"/>
              <w:color w:val="156082" w:themeColor="accent1"/>
              <w:sz w:val="88"/>
              <w:szCs w:val="88"/>
            </w:rPr>
            <w:t>[Tiedoston otsikko]</w:t>
          </w:r>
        </w:p>
      </w:docPartBody>
    </w:docPart>
    <w:docPart>
      <w:docPartPr>
        <w:name w:val="69E8D087045A472793C94DC3C645F77B"/>
        <w:category>
          <w:name w:val="Yleiset"/>
          <w:gallery w:val="placeholder"/>
        </w:category>
        <w:types>
          <w:type w:val="bbPlcHdr"/>
        </w:types>
        <w:behaviors>
          <w:behavior w:val="content"/>
        </w:behaviors>
        <w:guid w:val="{196859AA-F334-401F-A2BA-0083A9FF42DF}"/>
      </w:docPartPr>
      <w:docPartBody>
        <w:p w:rsidR="00F05889" w:rsidRDefault="00233809" w:rsidP="00233809">
          <w:pPr>
            <w:pStyle w:val="69E8D087045A472793C94DC3C645F77B"/>
          </w:pPr>
          <w:r>
            <w:rPr>
              <w:color w:val="156082" w:themeColor="accent1"/>
              <w:sz w:val="28"/>
              <w:szCs w:val="28"/>
            </w:rPr>
            <w:t>[Tekijän nimi]</w:t>
          </w:r>
        </w:p>
      </w:docPartBody>
    </w:docPart>
    <w:docPart>
      <w:docPartPr>
        <w:name w:val="EF8F6FBECDFB4754A2F0A0478674E8AC"/>
        <w:category>
          <w:name w:val="Yleiset"/>
          <w:gallery w:val="placeholder"/>
        </w:category>
        <w:types>
          <w:type w:val="bbPlcHdr"/>
        </w:types>
        <w:behaviors>
          <w:behavior w:val="content"/>
        </w:behaviors>
        <w:guid w:val="{C32ADF33-3F87-4737-8869-3EEBEE706709}"/>
      </w:docPartPr>
      <w:docPartBody>
        <w:p w:rsidR="00F05889" w:rsidRDefault="00233809" w:rsidP="00233809">
          <w:pPr>
            <w:pStyle w:val="EF8F6FBECDFB4754A2F0A0478674E8AC"/>
          </w:pPr>
          <w:r>
            <w:rPr>
              <w:color w:val="156082" w:themeColor="accent1"/>
              <w:sz w:val="28"/>
              <w:szCs w:val="28"/>
            </w:rPr>
            <w:t>[Päivämäärä]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Regular">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809"/>
    <w:rsid w:val="00233809"/>
    <w:rsid w:val="006350CC"/>
    <w:rsid w:val="00880C2C"/>
    <w:rsid w:val="008A449A"/>
    <w:rsid w:val="00A53829"/>
    <w:rsid w:val="00E211E6"/>
    <w:rsid w:val="00F0588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2E8826D1257B45D78E2BD1270B46A755">
    <w:name w:val="2E8826D1257B45D78E2BD1270B46A755"/>
    <w:rsid w:val="00233809"/>
  </w:style>
  <w:style w:type="paragraph" w:customStyle="1" w:styleId="CB84DC2B4FCA482CAB0BF5F5FF947319">
    <w:name w:val="CB84DC2B4FCA482CAB0BF5F5FF947319"/>
    <w:rsid w:val="00233809"/>
  </w:style>
  <w:style w:type="paragraph" w:customStyle="1" w:styleId="69E8D087045A472793C94DC3C645F77B">
    <w:name w:val="69E8D087045A472793C94DC3C645F77B"/>
    <w:rsid w:val="00233809"/>
  </w:style>
  <w:style w:type="paragraph" w:customStyle="1" w:styleId="EF8F6FBECDFB4754A2F0A0478674E8AC">
    <w:name w:val="EF8F6FBECDFB4754A2F0A0478674E8AC"/>
    <w:rsid w:val="00233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CoverPageProperties xmlns="http://schemas.microsoft.com/office/2006/coverPageProps">
  <PublishDate>2024-09-01T00:00:00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457</TotalTime>
  <Application>LibreOffice/6.1.4.2$Windows_X86_64 LibreOffice_project/9d0f32d1f0b509096fd65e0d4bec26ddd1938fd3</Application>
  <Pages>11</Pages>
  <Words>1861</Words>
  <Characters>16920</Characters>
  <CharactersWithSpaces>19135</CharactersWithSpaces>
  <Paragraphs>121</Paragraphs>
  <Company>Eterneco Ky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2023-08-09T16:05:00Z</dcterms:created>
  <dc:creator>Pauliina Lukkarinen</dc:creator>
  <dc:description/>
  <dc:language>fi-FI</dc:language>
  <cp:lastModifiedBy/>
  <dcterms:modified xsi:type="dcterms:W3CDTF">2026-09-17T11:16:33Z</dcterms:modified>
  <cp:revision>22</cp:revision>
  <dc:subject>Eterneco Ky</dc:subject>
  <dc:title>OMAVALVONTA-SUUNNITELMA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Eterneco Ky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